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A3" w:rsidRDefault="002953A3" w:rsidP="002953A3">
      <w:pPr>
        <w:pStyle w:val="Header"/>
        <w:shd w:val="clear" w:color="auto" w:fill="B8CCE4" w:themeFill="accent1" w:themeFillTint="66"/>
        <w:rPr>
          <w:rFonts w:eastAsia="Arial Unicode MS" w:cs="Arial"/>
          <w:b/>
          <w:color w:val="365F91" w:themeColor="accent1" w:themeShade="BF"/>
          <w:sz w:val="32"/>
          <w:szCs w:val="28"/>
        </w:rPr>
      </w:pPr>
      <w:r w:rsidRPr="002953A3">
        <w:rPr>
          <w:rFonts w:eastAsia="Arial Unicode MS" w:cs="Arial"/>
          <w:b/>
          <w:color w:val="365F91" w:themeColor="accent1" w:themeShade="BF"/>
          <w:sz w:val="32"/>
          <w:szCs w:val="28"/>
        </w:rPr>
        <w:t xml:space="preserve">Travel and Subsistence Rates </w:t>
      </w:r>
    </w:p>
    <w:p w:rsidR="002953A3" w:rsidRPr="002953A3" w:rsidRDefault="002953A3" w:rsidP="002953A3">
      <w:pPr>
        <w:pStyle w:val="Header"/>
        <w:shd w:val="clear" w:color="auto" w:fill="B8CCE4" w:themeFill="accent1" w:themeFillTint="66"/>
        <w:rPr>
          <w:rFonts w:eastAsia="Arial Unicode MS" w:cs="Arial"/>
          <w:b/>
          <w:color w:val="365F91" w:themeColor="accent1" w:themeShade="BF"/>
          <w:sz w:val="32"/>
          <w:szCs w:val="28"/>
        </w:rPr>
      </w:pPr>
      <w:r w:rsidRPr="002953A3">
        <w:rPr>
          <w:rFonts w:eastAsia="Arial Unicode MS" w:cs="Arial"/>
          <w:b/>
          <w:color w:val="365F91" w:themeColor="accent1" w:themeShade="BF"/>
          <w:sz w:val="32"/>
          <w:szCs w:val="28"/>
        </w:rPr>
        <w:t xml:space="preserve">Non-Executive </w:t>
      </w:r>
      <w:r>
        <w:rPr>
          <w:rFonts w:eastAsia="Arial Unicode MS" w:cs="Arial"/>
          <w:b/>
          <w:color w:val="365F91" w:themeColor="accent1" w:themeShade="BF"/>
          <w:sz w:val="32"/>
          <w:szCs w:val="28"/>
        </w:rPr>
        <w:t xml:space="preserve">Board </w:t>
      </w:r>
      <w:bookmarkStart w:id="0" w:name="_GoBack"/>
      <w:bookmarkEnd w:id="0"/>
      <w:r w:rsidRPr="002953A3">
        <w:rPr>
          <w:rFonts w:eastAsia="Arial Unicode MS" w:cs="Arial"/>
          <w:b/>
          <w:color w:val="365F91" w:themeColor="accent1" w:themeShade="BF"/>
          <w:sz w:val="32"/>
          <w:szCs w:val="28"/>
        </w:rPr>
        <w:t>Members</w:t>
      </w:r>
    </w:p>
    <w:p w:rsidR="002953A3" w:rsidRPr="002953A3" w:rsidRDefault="002953A3" w:rsidP="00B561C0">
      <w:pPr>
        <w:rPr>
          <w:rFonts w:cs="Arial"/>
          <w:snapToGrid w:val="0"/>
          <w:color w:val="365F91" w:themeColor="accent1" w:themeShade="BF"/>
          <w:szCs w:val="24"/>
        </w:rPr>
      </w:pPr>
    </w:p>
    <w:p w:rsidR="00027C27" w:rsidRPr="002953A3" w:rsidRDefault="002953A3" w:rsidP="00B561C0">
      <w:pPr>
        <w:rPr>
          <w:rFonts w:cs="Arial"/>
          <w:snapToGrid w:val="0"/>
          <w:color w:val="365F91" w:themeColor="accent1" w:themeShade="BF"/>
          <w:szCs w:val="24"/>
        </w:rPr>
      </w:pPr>
      <w:r w:rsidRPr="002953A3">
        <w:rPr>
          <w:rFonts w:cs="Arial"/>
          <w:snapToGrid w:val="0"/>
          <w:color w:val="365F91" w:themeColor="accent1" w:themeShade="BF"/>
          <w:szCs w:val="24"/>
        </w:rPr>
        <w:t>As a Non-Executive Board Member y</w:t>
      </w:r>
      <w:r w:rsidRPr="002953A3">
        <w:rPr>
          <w:rFonts w:cs="Arial"/>
          <w:snapToGrid w:val="0"/>
          <w:color w:val="365F91" w:themeColor="accent1" w:themeShade="BF"/>
          <w:szCs w:val="24"/>
        </w:rPr>
        <w:t>ou will receive reimbursement for reasonab</w:t>
      </w:r>
      <w:r w:rsidRPr="002953A3">
        <w:rPr>
          <w:rFonts w:cs="Arial"/>
          <w:snapToGrid w:val="0"/>
          <w:color w:val="365F91" w:themeColor="accent1" w:themeShade="BF"/>
          <w:szCs w:val="24"/>
        </w:rPr>
        <w:t xml:space="preserve">le travel and subsistence costs.  </w:t>
      </w:r>
    </w:p>
    <w:p w:rsidR="002953A3" w:rsidRPr="002953A3" w:rsidRDefault="002953A3" w:rsidP="00B561C0">
      <w:pPr>
        <w:rPr>
          <w:rFonts w:cs="Arial"/>
          <w:snapToGrid w:val="0"/>
          <w:color w:val="365F91" w:themeColor="accent1" w:themeShade="BF"/>
          <w:szCs w:val="24"/>
        </w:rPr>
      </w:pPr>
    </w:p>
    <w:p w:rsidR="002953A3" w:rsidRDefault="002953A3" w:rsidP="002953A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65F91" w:themeColor="accent1" w:themeShade="BF"/>
        </w:rPr>
      </w:pPr>
      <w:r w:rsidRPr="002953A3">
        <w:rPr>
          <w:rFonts w:ascii="Arial" w:hAnsi="Arial" w:cs="Arial"/>
          <w:color w:val="365F91" w:themeColor="accent1" w:themeShade="BF"/>
        </w:rPr>
        <w:t>All travel and subsistence (</w:t>
      </w:r>
      <w:proofErr w:type="spellStart"/>
      <w:r w:rsidRPr="002953A3">
        <w:rPr>
          <w:rFonts w:ascii="Arial" w:hAnsi="Arial" w:cs="Arial"/>
          <w:color w:val="365F91" w:themeColor="accent1" w:themeShade="BF"/>
        </w:rPr>
        <w:t>T&amp;S</w:t>
      </w:r>
      <w:proofErr w:type="spellEnd"/>
      <w:r w:rsidRPr="002953A3">
        <w:rPr>
          <w:rFonts w:ascii="Arial" w:hAnsi="Arial" w:cs="Arial"/>
          <w:color w:val="365F91" w:themeColor="accent1" w:themeShade="BF"/>
        </w:rPr>
        <w:t xml:space="preserve">) expense types, limits and codes </w:t>
      </w:r>
      <w:r w:rsidRPr="002953A3">
        <w:rPr>
          <w:rFonts w:ascii="Arial" w:hAnsi="Arial" w:cs="Arial"/>
          <w:color w:val="365F91" w:themeColor="accent1" w:themeShade="BF"/>
        </w:rPr>
        <w:t xml:space="preserve">are shown below and </w:t>
      </w:r>
      <w:r w:rsidRPr="002953A3">
        <w:rPr>
          <w:rFonts w:ascii="Arial" w:hAnsi="Arial" w:cs="Arial"/>
          <w:color w:val="365F91" w:themeColor="accent1" w:themeShade="BF"/>
        </w:rPr>
        <w:t xml:space="preserve">are effective from March 1, 2012. </w:t>
      </w:r>
    </w:p>
    <w:p w:rsidR="002953A3" w:rsidRPr="002953A3" w:rsidRDefault="002953A3" w:rsidP="002953A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65F91" w:themeColor="accent1" w:themeShade="BF"/>
        </w:rPr>
      </w:pPr>
    </w:p>
    <w:p w:rsidR="002953A3" w:rsidRDefault="002953A3" w:rsidP="002953A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65F91" w:themeColor="accent1" w:themeShade="BF"/>
        </w:rPr>
      </w:pPr>
      <w:r w:rsidRPr="002953A3">
        <w:rPr>
          <w:rFonts w:ascii="Arial" w:hAnsi="Arial" w:cs="Arial"/>
          <w:color w:val="365F91" w:themeColor="accent1" w:themeShade="BF"/>
        </w:rPr>
        <w:t xml:space="preserve">You need to include a receipt with your claim for all expenditure, even when there is no maximum limit. </w:t>
      </w:r>
      <w:r w:rsidRPr="002953A3">
        <w:rPr>
          <w:rFonts w:ascii="Arial" w:hAnsi="Arial" w:cs="Arial"/>
          <w:color w:val="365F91" w:themeColor="accent1" w:themeShade="BF"/>
        </w:rPr>
        <w:t xml:space="preserve"> </w:t>
      </w:r>
      <w:r w:rsidRPr="002953A3">
        <w:rPr>
          <w:rFonts w:ascii="Arial" w:hAnsi="Arial" w:cs="Arial"/>
          <w:color w:val="365F91" w:themeColor="accent1" w:themeShade="BF"/>
        </w:rPr>
        <w:t>The exceptions to this are mileage allowances, toll charges and where tickets are retained, for example at train stations and car parking barriers.</w:t>
      </w:r>
    </w:p>
    <w:p w:rsidR="002953A3" w:rsidRPr="002953A3" w:rsidRDefault="002953A3" w:rsidP="002953A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65F91" w:themeColor="accent1" w:themeShade="BF"/>
        </w:rPr>
      </w:pPr>
    </w:p>
    <w:tbl>
      <w:tblPr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757"/>
        <w:gridCol w:w="3633"/>
      </w:tblGrid>
      <w:tr w:rsidR="002953A3" w:rsidRPr="002953A3" w:rsidTr="002953A3">
        <w:tc>
          <w:tcPr>
            <w:tcW w:w="4626" w:type="dxa"/>
            <w:shd w:val="clear" w:color="auto" w:fill="B8CCE4" w:themeFill="accent1" w:themeFillTint="6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953A3" w:rsidRPr="002953A3" w:rsidRDefault="002953A3" w:rsidP="002953A3">
            <w:pPr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b/>
                <w:bCs/>
                <w:color w:val="365F91" w:themeColor="accent1" w:themeShade="BF"/>
                <w:szCs w:val="24"/>
                <w:bdr w:val="none" w:sz="0" w:space="0" w:color="auto" w:frame="1"/>
                <w:lang w:eastAsia="en-GB"/>
              </w:rPr>
              <w:t>Expense type</w:t>
            </w:r>
          </w:p>
        </w:tc>
        <w:tc>
          <w:tcPr>
            <w:tcW w:w="757" w:type="dxa"/>
            <w:shd w:val="clear" w:color="auto" w:fill="B8CCE4" w:themeFill="accent1" w:themeFillTint="6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953A3" w:rsidRPr="002953A3" w:rsidRDefault="002953A3" w:rsidP="002953A3">
            <w:pPr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b/>
                <w:bCs/>
                <w:color w:val="365F91" w:themeColor="accent1" w:themeShade="BF"/>
                <w:szCs w:val="24"/>
                <w:bdr w:val="none" w:sz="0" w:space="0" w:color="auto" w:frame="1"/>
                <w:lang w:eastAsia="en-GB"/>
              </w:rPr>
              <w:t>Code</w:t>
            </w:r>
          </w:p>
        </w:tc>
        <w:tc>
          <w:tcPr>
            <w:tcW w:w="3633" w:type="dxa"/>
            <w:shd w:val="clear" w:color="auto" w:fill="B8CCE4" w:themeFill="accent1" w:themeFillTint="6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953A3" w:rsidRPr="002953A3" w:rsidRDefault="002953A3" w:rsidP="002953A3">
            <w:pPr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b/>
                <w:bCs/>
                <w:color w:val="365F91" w:themeColor="accent1" w:themeShade="BF"/>
                <w:szCs w:val="24"/>
                <w:bdr w:val="none" w:sz="0" w:space="0" w:color="auto" w:frame="1"/>
                <w:lang w:eastAsia="en-GB"/>
              </w:rPr>
              <w:t>Rate/unit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Arrears motor mileage rate (for use only when motor mileage rate has been increased and arrears are due)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AMMR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None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Arrears subsistence (for use only when subsistence rates have been increased and arrears are due)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ASUB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None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Bed and breakfast</w:t>
            </w:r>
            <w:r w:rsidRPr="002953A3">
              <w:rPr>
                <w:rFonts w:cs="Arial"/>
                <w:color w:val="365F91" w:themeColor="accent1" w:themeShade="BF"/>
                <w:sz w:val="27"/>
                <w:szCs w:val="27"/>
                <w:bdr w:val="none" w:sz="0" w:space="0" w:color="auto" w:frame="1"/>
                <w:lang w:eastAsia="en-GB"/>
              </w:rPr>
              <w:t> </w:t>
            </w: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London</w:t>
            </w:r>
          </w:p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(does not cover items such as charges for viewing films or use of a mini bar)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BBLR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 up to £100 per night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Bed and breakfast elsewhere</w:t>
            </w:r>
          </w:p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(does not cover items such as charges for viewing films or use of a mini bar)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BBER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 up to £75 per night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Car hire (including related fuel)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TRCH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 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Car parking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TRCP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 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Day subsistence over 5 hours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DSFH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 up to £4.90 per day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Day subsistence over 10 hours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DSTH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 up to £10.70 per day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Equipment supplement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ESMR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£0.03 per mile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Foreign travel night and day subsistence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FTND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 xml:space="preserve">Receipted, per night/day (contact </w:t>
            </w: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T&amp;S</w:t>
            </w:r>
            <w:proofErr w:type="spellEnd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 xml:space="preserve"> team for ceilings)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Foreign travel other expenses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FTOE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 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Foreign travel air travel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FTAT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 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Foreign travel rail travel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FTRT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 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Foreign travel taxi travel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FTTT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 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Leased car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MMLC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£0.08 per mile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Lodging allowance London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LALR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 up to £42.25 per night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Lodging allowance elsewhere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LAER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 up to £37.40 per night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Meals allowance London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MALR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 up to £24.10 per night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Meals allowance elsewhere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MAER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 up to £23.50 per night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Motor cycle allowance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MCMR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£0.24 per mile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Motor mileage rate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MMRT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£0.45 per mile</w:t>
            </w:r>
          </w:p>
        </w:tc>
      </w:tr>
    </w:tbl>
    <w:p w:rsidR="002953A3" w:rsidRDefault="002953A3">
      <w:r>
        <w:br w:type="page"/>
      </w:r>
    </w:p>
    <w:tbl>
      <w:tblPr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757"/>
        <w:gridCol w:w="3633"/>
      </w:tblGrid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lastRenderedPageBreak/>
              <w:t>Non-standard subsistence rates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NSSR</w:t>
            </w:r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 per night/day - contact the travel and subsistence team before using this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Overnight by train or boat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NSTB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 up to £24.10 per night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Passenger supplement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FPMR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£0.05 per mile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Pedal cycle allowance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PCMR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£0.20 per mile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Personal incidental expenses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PIEA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 up to £5 per night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Public transport air travel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TRAT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 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Public transport bus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TRBU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 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Public transport ferry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TRFE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 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Public transport rail (first class)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TRRF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 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Public transport rail (standard)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TRRS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 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Public transport taxi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TRTX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 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Public transport Tube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TRTU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Receipted, 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Staying with friends allowance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NSSF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£36, set rate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Telephone calls on official business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TELE</w:t>
            </w:r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No maximum</w:t>
            </w:r>
          </w:p>
        </w:tc>
      </w:tr>
      <w:tr w:rsidR="002953A3" w:rsidRPr="002953A3" w:rsidTr="002953A3">
        <w:tc>
          <w:tcPr>
            <w:tcW w:w="4626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Toll charges</w:t>
            </w:r>
          </w:p>
        </w:tc>
        <w:tc>
          <w:tcPr>
            <w:tcW w:w="757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proofErr w:type="spellStart"/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TRTC</w:t>
            </w:r>
            <w:proofErr w:type="spellEnd"/>
          </w:p>
        </w:tc>
        <w:tc>
          <w:tcPr>
            <w:tcW w:w="3633" w:type="dxa"/>
            <w:hideMark/>
          </w:tcPr>
          <w:p w:rsidR="002953A3" w:rsidRPr="002953A3" w:rsidRDefault="002953A3" w:rsidP="002953A3">
            <w:pPr>
              <w:textAlignment w:val="baseline"/>
              <w:rPr>
                <w:rFonts w:cs="Arial"/>
                <w:color w:val="365F91" w:themeColor="accent1" w:themeShade="BF"/>
                <w:szCs w:val="24"/>
                <w:lang w:eastAsia="en-GB"/>
              </w:rPr>
            </w:pPr>
            <w:r w:rsidRPr="002953A3">
              <w:rPr>
                <w:rFonts w:cs="Arial"/>
                <w:color w:val="365F91" w:themeColor="accent1" w:themeShade="BF"/>
                <w:szCs w:val="24"/>
                <w:lang w:eastAsia="en-GB"/>
              </w:rPr>
              <w:t>No maximum</w:t>
            </w:r>
          </w:p>
        </w:tc>
      </w:tr>
    </w:tbl>
    <w:p w:rsidR="002953A3" w:rsidRDefault="002953A3" w:rsidP="00B561C0">
      <w:pPr>
        <w:rPr>
          <w:color w:val="365F91" w:themeColor="accent1" w:themeShade="BF"/>
        </w:rPr>
      </w:pPr>
    </w:p>
    <w:p w:rsidR="002953A3" w:rsidRPr="002953A3" w:rsidRDefault="002953A3" w:rsidP="00B561C0">
      <w:pPr>
        <w:rPr>
          <w:b/>
          <w:color w:val="365F91" w:themeColor="accent1" w:themeShade="BF"/>
        </w:rPr>
      </w:pPr>
      <w:r w:rsidRPr="002953A3">
        <w:rPr>
          <w:b/>
          <w:color w:val="365F91" w:themeColor="accent1" w:themeShade="BF"/>
        </w:rPr>
        <w:t>Corporate Business Management Team</w:t>
      </w:r>
    </w:p>
    <w:p w:rsidR="002953A3" w:rsidRDefault="002953A3" w:rsidP="00B561C0">
      <w:pPr>
        <w:rPr>
          <w:color w:val="365F91" w:themeColor="accent1" w:themeShade="BF"/>
        </w:rPr>
      </w:pPr>
      <w:r>
        <w:rPr>
          <w:color w:val="365F91" w:themeColor="accent1" w:themeShade="BF"/>
        </w:rPr>
        <w:t>April 2020</w:t>
      </w:r>
    </w:p>
    <w:p w:rsidR="002953A3" w:rsidRPr="002953A3" w:rsidRDefault="002953A3" w:rsidP="00B561C0">
      <w:pPr>
        <w:rPr>
          <w:color w:val="365F91" w:themeColor="accent1" w:themeShade="BF"/>
        </w:rPr>
      </w:pPr>
    </w:p>
    <w:sectPr w:rsidR="002953A3" w:rsidRPr="002953A3" w:rsidSect="00B561C0">
      <w:footerReference w:type="default" r:id="rId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A3" w:rsidRDefault="002953A3" w:rsidP="002953A3">
      <w:r>
        <w:separator/>
      </w:r>
    </w:p>
  </w:endnote>
  <w:endnote w:type="continuationSeparator" w:id="0">
    <w:p w:rsidR="002953A3" w:rsidRDefault="002953A3" w:rsidP="0029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A3" w:rsidRDefault="002953A3">
    <w:pPr>
      <w:pStyle w:val="Footer"/>
    </w:pPr>
    <w:r w:rsidRPr="002953A3">
      <w:rPr>
        <w:noProof/>
        <w:color w:val="FFFFFF"/>
        <w:sz w:val="22"/>
        <w:szCs w:val="22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8EAA35" wp14:editId="4424B27B">
              <wp:simplePos x="0" y="0"/>
              <wp:positionH relativeFrom="column">
                <wp:posOffset>3346450</wp:posOffset>
              </wp:positionH>
              <wp:positionV relativeFrom="paragraph">
                <wp:posOffset>95358</wp:posOffset>
              </wp:positionV>
              <wp:extent cx="3044825" cy="1404620"/>
              <wp:effectExtent l="0" t="0" r="22225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1404620"/>
                      </a:xfrm>
                      <a:prstGeom prst="rect">
                        <a:avLst/>
                      </a:prstGeom>
                      <a:solidFill>
                        <a:srgbClr val="4F81BD">
                          <a:lumMod val="75000"/>
                        </a:srgbClr>
                      </a:solidFill>
                      <a:ln w="9525">
                        <a:solidFill>
                          <a:srgbClr val="4F81BD">
                            <a:lumMod val="75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53A3" w:rsidRDefault="002953A3" w:rsidP="002953A3">
                          <w:pPr>
                            <w:shd w:val="clear" w:color="auto" w:fill="365F91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Travel and Subsistence Rates</w:t>
                          </w:r>
                        </w:p>
                        <w:p w:rsidR="002953A3" w:rsidRPr="002953A3" w:rsidRDefault="002953A3" w:rsidP="002953A3">
                          <w:pPr>
                            <w:shd w:val="clear" w:color="auto" w:fill="365F91"/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Non-Executive Board Members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8EAA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3.5pt;margin-top:7.5pt;width:23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" fillcolor="#376092" strokecolor="#376092">
              <v:textbox style="mso-fit-shape-to-text:t">
                <w:txbxContent>
                  <w:p w:rsidR="002953A3" w:rsidRDefault="002953A3" w:rsidP="002953A3">
                    <w:pPr>
                      <w:shd w:val="clear" w:color="auto" w:fill="365F91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Travel and Subsistence Rates</w:t>
                    </w:r>
                  </w:p>
                  <w:p w:rsidR="002953A3" w:rsidRPr="002953A3" w:rsidRDefault="002953A3" w:rsidP="002953A3">
                    <w:pPr>
                      <w:shd w:val="clear" w:color="auto" w:fill="365F91"/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Non-Executive Board Members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-294568</wp:posOffset>
          </wp:positionV>
          <wp:extent cx="7547610" cy="1005840"/>
          <wp:effectExtent l="0" t="0" r="0" b="3810"/>
          <wp:wrapNone/>
          <wp:docPr id="730" name="Picture 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" name="Picture 73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A3" w:rsidRDefault="002953A3" w:rsidP="002953A3">
      <w:r>
        <w:separator/>
      </w:r>
    </w:p>
  </w:footnote>
  <w:footnote w:type="continuationSeparator" w:id="0">
    <w:p w:rsidR="002953A3" w:rsidRDefault="002953A3" w:rsidP="0029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A3"/>
    <w:rsid w:val="00027C27"/>
    <w:rsid w:val="000C0CF4"/>
    <w:rsid w:val="00281579"/>
    <w:rsid w:val="002953A3"/>
    <w:rsid w:val="00306C61"/>
    <w:rsid w:val="0037582B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377F8"/>
  <w15:chartTrackingRefBased/>
  <w15:docId w15:val="{5471B07E-A361-40E5-9337-08EB27D6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2953A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9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Hildersley SCJ (Sarah)</dc:creator>
  <cp:keywords/>
  <dc:description/>
  <cp:lastModifiedBy>Hildersley SCJ (Sarah)</cp:lastModifiedBy>
  <cp:revision>1</cp:revision>
  <dcterms:created xsi:type="dcterms:W3CDTF">2020-04-30T09:45:00Z</dcterms:created>
  <dcterms:modified xsi:type="dcterms:W3CDTF">2020-04-30T09:59:00Z</dcterms:modified>
</cp:coreProperties>
</file>