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3A3" w:rsidRDefault="002953A3" w:rsidP="002953A3">
      <w:pPr>
        <w:pStyle w:val="Header"/>
        <w:shd w:val="clear" w:color="auto" w:fill="B8CCE4" w:themeFill="accent1" w:themeFillTint="66"/>
        <w:rPr>
          <w:rFonts w:eastAsia="Arial Unicode MS" w:cs="Arial"/>
          <w:b/>
          <w:color w:val="365F91" w:themeColor="accent1" w:themeShade="BF"/>
          <w:sz w:val="32"/>
          <w:szCs w:val="28"/>
        </w:rPr>
      </w:pPr>
      <w:r w:rsidRPr="002953A3">
        <w:rPr>
          <w:rFonts w:eastAsia="Arial Unicode MS" w:cs="Arial"/>
          <w:b/>
          <w:color w:val="365F91" w:themeColor="accent1" w:themeShade="BF"/>
          <w:sz w:val="32"/>
          <w:szCs w:val="28"/>
        </w:rPr>
        <w:t xml:space="preserve">Travel and Subsistence Rates </w:t>
      </w:r>
    </w:p>
    <w:p w:rsidR="002953A3" w:rsidRPr="002953A3" w:rsidRDefault="002953A3" w:rsidP="002953A3">
      <w:pPr>
        <w:pStyle w:val="Header"/>
        <w:shd w:val="clear" w:color="auto" w:fill="B8CCE4" w:themeFill="accent1" w:themeFillTint="66"/>
        <w:rPr>
          <w:rFonts w:eastAsia="Arial Unicode MS" w:cs="Arial"/>
          <w:b/>
          <w:color w:val="365F91" w:themeColor="accent1" w:themeShade="BF"/>
          <w:sz w:val="32"/>
          <w:szCs w:val="28"/>
        </w:rPr>
      </w:pPr>
      <w:r w:rsidRPr="002953A3">
        <w:rPr>
          <w:rFonts w:eastAsia="Arial Unicode MS" w:cs="Arial"/>
          <w:b/>
          <w:color w:val="365F91" w:themeColor="accent1" w:themeShade="BF"/>
          <w:sz w:val="32"/>
          <w:szCs w:val="28"/>
        </w:rPr>
        <w:t xml:space="preserve">Non-Executive </w:t>
      </w:r>
      <w:r>
        <w:rPr>
          <w:rFonts w:eastAsia="Arial Unicode MS" w:cs="Arial"/>
          <w:b/>
          <w:color w:val="365F91" w:themeColor="accent1" w:themeShade="BF"/>
          <w:sz w:val="32"/>
          <w:szCs w:val="28"/>
        </w:rPr>
        <w:t xml:space="preserve">Board </w:t>
      </w:r>
      <w:bookmarkStart w:id="0" w:name="_GoBack"/>
      <w:bookmarkEnd w:id="0"/>
      <w:r w:rsidRPr="002953A3">
        <w:rPr>
          <w:rFonts w:eastAsia="Arial Unicode MS" w:cs="Arial"/>
          <w:b/>
          <w:color w:val="365F91" w:themeColor="accent1" w:themeShade="BF"/>
          <w:sz w:val="32"/>
          <w:szCs w:val="28"/>
        </w:rPr>
        <w:t>Members</w:t>
      </w:r>
    </w:p>
    <w:p w:rsidR="002953A3" w:rsidRPr="002953A3" w:rsidRDefault="002953A3" w:rsidP="00B561C0">
      <w:pPr>
        <w:rPr>
          <w:rFonts w:cs="Arial"/>
          <w:snapToGrid w:val="0"/>
          <w:color w:val="365F91" w:themeColor="accent1" w:themeShade="BF"/>
          <w:szCs w:val="24"/>
        </w:rPr>
      </w:pPr>
    </w:p>
    <w:p w:rsidR="00027C27" w:rsidRPr="002953A3" w:rsidRDefault="002953A3" w:rsidP="00B561C0">
      <w:pPr>
        <w:rPr>
          <w:rFonts w:cs="Arial"/>
          <w:snapToGrid w:val="0"/>
          <w:color w:val="365F91" w:themeColor="accent1" w:themeShade="BF"/>
          <w:szCs w:val="24"/>
        </w:rPr>
      </w:pPr>
      <w:r w:rsidRPr="002953A3">
        <w:rPr>
          <w:rFonts w:cs="Arial"/>
          <w:snapToGrid w:val="0"/>
          <w:color w:val="365F91" w:themeColor="accent1" w:themeShade="BF"/>
          <w:szCs w:val="24"/>
        </w:rPr>
        <w:t>As a Non-Executive Board Member y</w:t>
      </w:r>
      <w:r w:rsidRPr="002953A3">
        <w:rPr>
          <w:rFonts w:cs="Arial"/>
          <w:snapToGrid w:val="0"/>
          <w:color w:val="365F91" w:themeColor="accent1" w:themeShade="BF"/>
          <w:szCs w:val="24"/>
        </w:rPr>
        <w:t>ou will receive reimbursement for reasonab</w:t>
      </w:r>
      <w:r w:rsidRPr="002953A3">
        <w:rPr>
          <w:rFonts w:cs="Arial"/>
          <w:snapToGrid w:val="0"/>
          <w:color w:val="365F91" w:themeColor="accent1" w:themeShade="BF"/>
          <w:szCs w:val="24"/>
        </w:rPr>
        <w:t xml:space="preserve">le travel and subsistence costs.  </w:t>
      </w:r>
    </w:p>
    <w:p w:rsidR="002953A3" w:rsidRPr="002953A3" w:rsidRDefault="002953A3" w:rsidP="00B561C0">
      <w:pPr>
        <w:rPr>
          <w:rFonts w:cs="Arial"/>
          <w:snapToGrid w:val="0"/>
          <w:color w:val="365F91" w:themeColor="accent1" w:themeShade="BF"/>
          <w:szCs w:val="24"/>
        </w:rPr>
      </w:pPr>
    </w:p>
    <w:p w:rsidR="002953A3" w:rsidRDefault="002953A3" w:rsidP="002953A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65F91" w:themeColor="accent1" w:themeShade="BF"/>
        </w:rPr>
      </w:pPr>
      <w:r w:rsidRPr="002953A3">
        <w:rPr>
          <w:rFonts w:ascii="Arial" w:hAnsi="Arial" w:cs="Arial"/>
          <w:color w:val="365F91" w:themeColor="accent1" w:themeShade="BF"/>
        </w:rPr>
        <w:t>All travel and subsistence (</w:t>
      </w:r>
      <w:proofErr w:type="spellStart"/>
      <w:r w:rsidRPr="002953A3">
        <w:rPr>
          <w:rFonts w:ascii="Arial" w:hAnsi="Arial" w:cs="Arial"/>
          <w:color w:val="365F91" w:themeColor="accent1" w:themeShade="BF"/>
        </w:rPr>
        <w:t>T&amp;S</w:t>
      </w:r>
      <w:proofErr w:type="spellEnd"/>
      <w:r w:rsidRPr="002953A3">
        <w:rPr>
          <w:rFonts w:ascii="Arial" w:hAnsi="Arial" w:cs="Arial"/>
          <w:color w:val="365F91" w:themeColor="accent1" w:themeShade="BF"/>
        </w:rPr>
        <w:t xml:space="preserve">) expense types, limits and codes </w:t>
      </w:r>
      <w:r w:rsidRPr="002953A3">
        <w:rPr>
          <w:rFonts w:ascii="Arial" w:hAnsi="Arial" w:cs="Arial"/>
          <w:color w:val="365F91" w:themeColor="accent1" w:themeShade="BF"/>
        </w:rPr>
        <w:t xml:space="preserve">are shown below and </w:t>
      </w:r>
      <w:r w:rsidRPr="002953A3">
        <w:rPr>
          <w:rFonts w:ascii="Arial" w:hAnsi="Arial" w:cs="Arial"/>
          <w:color w:val="365F91" w:themeColor="accent1" w:themeShade="BF"/>
        </w:rPr>
        <w:t xml:space="preserve">are effective from March 1, 2012. </w:t>
      </w:r>
    </w:p>
    <w:p w:rsidR="002953A3" w:rsidRPr="002953A3" w:rsidRDefault="002953A3" w:rsidP="002953A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65F91" w:themeColor="accent1" w:themeShade="BF"/>
        </w:rPr>
      </w:pPr>
    </w:p>
    <w:p w:rsidR="002953A3" w:rsidRDefault="002953A3" w:rsidP="002953A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65F91" w:themeColor="accent1" w:themeShade="BF"/>
        </w:rPr>
      </w:pPr>
      <w:r w:rsidRPr="002953A3">
        <w:rPr>
          <w:rFonts w:ascii="Arial" w:hAnsi="Arial" w:cs="Arial"/>
          <w:color w:val="365F91" w:themeColor="accent1" w:themeShade="BF"/>
        </w:rPr>
        <w:t xml:space="preserve">You need to include a receipt with your claim for all expenditure, even when there is no maximum limit. </w:t>
      </w:r>
      <w:r w:rsidRPr="002953A3">
        <w:rPr>
          <w:rFonts w:ascii="Arial" w:hAnsi="Arial" w:cs="Arial"/>
          <w:color w:val="365F91" w:themeColor="accent1" w:themeShade="BF"/>
        </w:rPr>
        <w:t xml:space="preserve"> </w:t>
      </w:r>
      <w:r w:rsidRPr="002953A3">
        <w:rPr>
          <w:rFonts w:ascii="Arial" w:hAnsi="Arial" w:cs="Arial"/>
          <w:color w:val="365F91" w:themeColor="accent1" w:themeShade="BF"/>
        </w:rPr>
        <w:t>The exceptions to this are mileage allowances, toll charges and where tickets are retained, for example at train stations and car parking barriers.</w:t>
      </w:r>
    </w:p>
    <w:p w:rsidR="002953A3" w:rsidRPr="002953A3" w:rsidRDefault="002953A3" w:rsidP="002953A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65F91" w:themeColor="accent1" w:themeShade="BF"/>
        </w:rPr>
      </w:pPr>
    </w:p>
    <w:tbl>
      <w:tblPr>
        <w:tblW w:w="0" w:type="auto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6"/>
        <w:gridCol w:w="757"/>
        <w:gridCol w:w="3633"/>
      </w:tblGrid>
      <w:tr w:rsidR="002953A3" w:rsidRPr="002953A3" w:rsidTr="002953A3">
        <w:tc>
          <w:tcPr>
            <w:tcW w:w="4626" w:type="dxa"/>
            <w:shd w:val="clear" w:color="auto" w:fill="B8CCE4" w:themeFill="accent1" w:themeFillTint="66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953A3" w:rsidRPr="002953A3" w:rsidRDefault="002953A3" w:rsidP="002953A3">
            <w:pPr>
              <w:rPr>
                <w:rFonts w:cs="Arial"/>
                <w:color w:val="365F91" w:themeColor="accent1" w:themeShade="BF"/>
                <w:szCs w:val="24"/>
                <w:lang w:eastAsia="en-GB"/>
              </w:rPr>
            </w:pPr>
            <w:r w:rsidRPr="002953A3">
              <w:rPr>
                <w:rFonts w:cs="Arial"/>
                <w:b/>
                <w:bCs/>
                <w:color w:val="365F91" w:themeColor="accent1" w:themeShade="BF"/>
                <w:szCs w:val="24"/>
                <w:bdr w:val="none" w:sz="0" w:space="0" w:color="auto" w:frame="1"/>
                <w:lang w:eastAsia="en-GB"/>
              </w:rPr>
              <w:t>Expense type</w:t>
            </w:r>
          </w:p>
        </w:tc>
        <w:tc>
          <w:tcPr>
            <w:tcW w:w="757" w:type="dxa"/>
            <w:shd w:val="clear" w:color="auto" w:fill="B8CCE4" w:themeFill="accent1" w:themeFillTint="66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953A3" w:rsidRPr="002953A3" w:rsidRDefault="002953A3" w:rsidP="002953A3">
            <w:pPr>
              <w:rPr>
                <w:rFonts w:cs="Arial"/>
                <w:color w:val="365F91" w:themeColor="accent1" w:themeShade="BF"/>
                <w:szCs w:val="24"/>
                <w:lang w:eastAsia="en-GB"/>
              </w:rPr>
            </w:pPr>
            <w:r w:rsidRPr="002953A3">
              <w:rPr>
                <w:rFonts w:cs="Arial"/>
                <w:b/>
                <w:bCs/>
                <w:color w:val="365F91" w:themeColor="accent1" w:themeShade="BF"/>
                <w:szCs w:val="24"/>
                <w:bdr w:val="none" w:sz="0" w:space="0" w:color="auto" w:frame="1"/>
                <w:lang w:eastAsia="en-GB"/>
              </w:rPr>
              <w:t>Code</w:t>
            </w:r>
          </w:p>
        </w:tc>
        <w:tc>
          <w:tcPr>
            <w:tcW w:w="3633" w:type="dxa"/>
            <w:shd w:val="clear" w:color="auto" w:fill="B8CCE4" w:themeFill="accent1" w:themeFillTint="66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2953A3" w:rsidRPr="002953A3" w:rsidRDefault="002953A3" w:rsidP="002953A3">
            <w:pPr>
              <w:rPr>
                <w:rFonts w:cs="Arial"/>
                <w:color w:val="365F91" w:themeColor="accent1" w:themeShade="BF"/>
                <w:szCs w:val="24"/>
                <w:lang w:eastAsia="en-GB"/>
              </w:rPr>
            </w:pPr>
            <w:r w:rsidRPr="002953A3">
              <w:rPr>
                <w:rFonts w:cs="Arial"/>
                <w:b/>
                <w:bCs/>
                <w:color w:val="365F91" w:themeColor="accent1" w:themeShade="BF"/>
                <w:szCs w:val="24"/>
                <w:bdr w:val="none" w:sz="0" w:space="0" w:color="auto" w:frame="1"/>
                <w:lang w:eastAsia="en-GB"/>
              </w:rPr>
              <w:t>Rate/unit</w:t>
            </w:r>
          </w:p>
        </w:tc>
      </w:tr>
      <w:tr w:rsidR="002953A3" w:rsidRPr="002953A3" w:rsidTr="002953A3">
        <w:tc>
          <w:tcPr>
            <w:tcW w:w="4626" w:type="dxa"/>
            <w:hideMark/>
          </w:tcPr>
          <w:p w:rsidR="002953A3" w:rsidRPr="002953A3" w:rsidRDefault="002953A3" w:rsidP="002953A3">
            <w:pPr>
              <w:textAlignment w:val="baseline"/>
              <w:rPr>
                <w:rFonts w:cs="Arial"/>
                <w:color w:val="365F91" w:themeColor="accent1" w:themeShade="BF"/>
                <w:szCs w:val="24"/>
                <w:lang w:eastAsia="en-GB"/>
              </w:rPr>
            </w:pPr>
            <w:r w:rsidRPr="002953A3">
              <w:rPr>
                <w:rFonts w:cs="Arial"/>
                <w:color w:val="365F91" w:themeColor="accent1" w:themeShade="BF"/>
                <w:szCs w:val="24"/>
                <w:lang w:eastAsia="en-GB"/>
              </w:rPr>
              <w:t>Arrears motor mileage rate (for use only when motor mileage rate has been increased and arrears are due)</w:t>
            </w:r>
          </w:p>
        </w:tc>
        <w:tc>
          <w:tcPr>
            <w:tcW w:w="757" w:type="dxa"/>
            <w:hideMark/>
          </w:tcPr>
          <w:p w:rsidR="002953A3" w:rsidRPr="002953A3" w:rsidRDefault="002953A3" w:rsidP="002953A3">
            <w:pPr>
              <w:textAlignment w:val="baseline"/>
              <w:rPr>
                <w:rFonts w:cs="Arial"/>
                <w:color w:val="365F91" w:themeColor="accent1" w:themeShade="BF"/>
                <w:szCs w:val="24"/>
                <w:lang w:eastAsia="en-GB"/>
              </w:rPr>
            </w:pPr>
            <w:proofErr w:type="spellStart"/>
            <w:r w:rsidRPr="002953A3">
              <w:rPr>
                <w:rFonts w:cs="Arial"/>
                <w:color w:val="365F91" w:themeColor="accent1" w:themeShade="BF"/>
                <w:szCs w:val="24"/>
                <w:lang w:eastAsia="en-GB"/>
              </w:rPr>
              <w:t>AMMR</w:t>
            </w:r>
            <w:proofErr w:type="spellEnd"/>
          </w:p>
        </w:tc>
        <w:tc>
          <w:tcPr>
            <w:tcW w:w="3633" w:type="dxa"/>
            <w:hideMark/>
          </w:tcPr>
          <w:p w:rsidR="002953A3" w:rsidRPr="002953A3" w:rsidRDefault="002953A3" w:rsidP="002953A3">
            <w:pPr>
              <w:textAlignment w:val="baseline"/>
              <w:rPr>
                <w:rFonts w:cs="Arial"/>
                <w:color w:val="365F91" w:themeColor="accent1" w:themeShade="BF"/>
                <w:szCs w:val="24"/>
                <w:lang w:eastAsia="en-GB"/>
              </w:rPr>
            </w:pPr>
            <w:r w:rsidRPr="002953A3">
              <w:rPr>
                <w:rFonts w:cs="Arial"/>
                <w:color w:val="365F91" w:themeColor="accent1" w:themeShade="BF"/>
                <w:szCs w:val="24"/>
                <w:lang w:eastAsia="en-GB"/>
              </w:rPr>
              <w:t>None</w:t>
            </w:r>
          </w:p>
        </w:tc>
      </w:tr>
      <w:tr w:rsidR="002953A3" w:rsidRPr="002953A3" w:rsidTr="002953A3">
        <w:tc>
          <w:tcPr>
            <w:tcW w:w="4626" w:type="dxa"/>
            <w:hideMark/>
          </w:tcPr>
          <w:p w:rsidR="002953A3" w:rsidRPr="002953A3" w:rsidRDefault="002953A3" w:rsidP="002953A3">
            <w:pPr>
              <w:textAlignment w:val="baseline"/>
              <w:rPr>
                <w:rFonts w:cs="Arial"/>
                <w:color w:val="365F91" w:themeColor="accent1" w:themeShade="BF"/>
                <w:szCs w:val="24"/>
                <w:lang w:eastAsia="en-GB"/>
              </w:rPr>
            </w:pPr>
            <w:r w:rsidRPr="002953A3">
              <w:rPr>
                <w:rFonts w:cs="Arial"/>
                <w:color w:val="365F91" w:themeColor="accent1" w:themeShade="BF"/>
                <w:szCs w:val="24"/>
                <w:lang w:eastAsia="en-GB"/>
              </w:rPr>
              <w:t>Arrears subsistence (for use only when subsistence rates have been increased and arrears are due)</w:t>
            </w:r>
          </w:p>
        </w:tc>
        <w:tc>
          <w:tcPr>
            <w:tcW w:w="757" w:type="dxa"/>
            <w:hideMark/>
          </w:tcPr>
          <w:p w:rsidR="002953A3" w:rsidRPr="002953A3" w:rsidRDefault="002953A3" w:rsidP="002953A3">
            <w:pPr>
              <w:textAlignment w:val="baseline"/>
              <w:rPr>
                <w:rFonts w:cs="Arial"/>
                <w:color w:val="365F91" w:themeColor="accent1" w:themeShade="BF"/>
                <w:szCs w:val="24"/>
                <w:lang w:eastAsia="en-GB"/>
              </w:rPr>
            </w:pPr>
            <w:proofErr w:type="spellStart"/>
            <w:r w:rsidRPr="002953A3">
              <w:rPr>
                <w:rFonts w:cs="Arial"/>
                <w:color w:val="365F91" w:themeColor="accent1" w:themeShade="BF"/>
                <w:szCs w:val="24"/>
                <w:lang w:eastAsia="en-GB"/>
              </w:rPr>
              <w:t>ASUB</w:t>
            </w:r>
            <w:proofErr w:type="spellEnd"/>
          </w:p>
        </w:tc>
        <w:tc>
          <w:tcPr>
            <w:tcW w:w="3633" w:type="dxa"/>
            <w:hideMark/>
          </w:tcPr>
          <w:p w:rsidR="002953A3" w:rsidRPr="002953A3" w:rsidRDefault="002953A3" w:rsidP="002953A3">
            <w:pPr>
              <w:textAlignment w:val="baseline"/>
              <w:rPr>
                <w:rFonts w:cs="Arial"/>
                <w:color w:val="365F91" w:themeColor="accent1" w:themeShade="BF"/>
                <w:szCs w:val="24"/>
                <w:lang w:eastAsia="en-GB"/>
              </w:rPr>
            </w:pPr>
            <w:r w:rsidRPr="002953A3">
              <w:rPr>
                <w:rFonts w:cs="Arial"/>
                <w:color w:val="365F91" w:themeColor="accent1" w:themeShade="BF"/>
                <w:szCs w:val="24"/>
                <w:lang w:eastAsia="en-GB"/>
              </w:rPr>
              <w:t>None</w:t>
            </w:r>
          </w:p>
        </w:tc>
      </w:tr>
      <w:tr w:rsidR="002953A3" w:rsidRPr="002953A3" w:rsidTr="002953A3">
        <w:tc>
          <w:tcPr>
            <w:tcW w:w="4626" w:type="dxa"/>
            <w:hideMark/>
          </w:tcPr>
          <w:p w:rsidR="002953A3" w:rsidRPr="002953A3" w:rsidRDefault="002953A3" w:rsidP="002953A3">
            <w:pPr>
              <w:textAlignment w:val="baseline"/>
              <w:rPr>
                <w:rFonts w:cs="Arial"/>
                <w:color w:val="365F91" w:themeColor="accent1" w:themeShade="BF"/>
                <w:szCs w:val="24"/>
                <w:lang w:eastAsia="en-GB"/>
              </w:rPr>
            </w:pPr>
            <w:r w:rsidRPr="002953A3">
              <w:rPr>
                <w:rFonts w:cs="Arial"/>
                <w:color w:val="365F91" w:themeColor="accent1" w:themeShade="BF"/>
                <w:szCs w:val="24"/>
                <w:lang w:eastAsia="en-GB"/>
              </w:rPr>
              <w:t>Bed and breakfast</w:t>
            </w:r>
            <w:r w:rsidRPr="002953A3">
              <w:rPr>
                <w:rFonts w:cs="Arial"/>
                <w:color w:val="365F91" w:themeColor="accent1" w:themeShade="BF"/>
                <w:sz w:val="27"/>
                <w:szCs w:val="27"/>
                <w:bdr w:val="none" w:sz="0" w:space="0" w:color="auto" w:frame="1"/>
                <w:lang w:eastAsia="en-GB"/>
              </w:rPr>
              <w:t> </w:t>
            </w:r>
            <w:r w:rsidRPr="002953A3">
              <w:rPr>
                <w:rFonts w:cs="Arial"/>
                <w:color w:val="365F91" w:themeColor="accent1" w:themeShade="BF"/>
                <w:szCs w:val="24"/>
                <w:lang w:eastAsia="en-GB"/>
              </w:rPr>
              <w:t>London</w:t>
            </w:r>
          </w:p>
          <w:p w:rsidR="002953A3" w:rsidRPr="002953A3" w:rsidRDefault="002953A3" w:rsidP="002953A3">
            <w:pPr>
              <w:textAlignment w:val="baseline"/>
              <w:rPr>
                <w:rFonts w:cs="Arial"/>
                <w:color w:val="365F91" w:themeColor="accent1" w:themeShade="BF"/>
                <w:szCs w:val="24"/>
                <w:lang w:eastAsia="en-GB"/>
              </w:rPr>
            </w:pPr>
            <w:r w:rsidRPr="002953A3">
              <w:rPr>
                <w:rFonts w:cs="Arial"/>
                <w:color w:val="365F91" w:themeColor="accent1" w:themeShade="BF"/>
                <w:szCs w:val="24"/>
                <w:lang w:eastAsia="en-GB"/>
              </w:rPr>
              <w:t>(does not cover items such as charges for viewing films or use of a mini bar)</w:t>
            </w:r>
          </w:p>
        </w:tc>
        <w:tc>
          <w:tcPr>
            <w:tcW w:w="757" w:type="dxa"/>
            <w:hideMark/>
          </w:tcPr>
          <w:p w:rsidR="002953A3" w:rsidRPr="002953A3" w:rsidRDefault="002953A3" w:rsidP="002953A3">
            <w:pPr>
              <w:textAlignment w:val="baseline"/>
              <w:rPr>
                <w:rFonts w:cs="Arial"/>
                <w:color w:val="365F91" w:themeColor="accent1" w:themeShade="BF"/>
                <w:szCs w:val="24"/>
                <w:lang w:eastAsia="en-GB"/>
              </w:rPr>
            </w:pPr>
            <w:proofErr w:type="spellStart"/>
            <w:r w:rsidRPr="002953A3">
              <w:rPr>
                <w:rFonts w:cs="Arial"/>
                <w:color w:val="365F91" w:themeColor="accent1" w:themeShade="BF"/>
                <w:szCs w:val="24"/>
                <w:lang w:eastAsia="en-GB"/>
              </w:rPr>
              <w:t>BBLR</w:t>
            </w:r>
            <w:proofErr w:type="spellEnd"/>
          </w:p>
        </w:tc>
        <w:tc>
          <w:tcPr>
            <w:tcW w:w="3633" w:type="dxa"/>
            <w:hideMark/>
          </w:tcPr>
          <w:p w:rsidR="002953A3" w:rsidRPr="002953A3" w:rsidRDefault="002953A3" w:rsidP="002953A3">
            <w:pPr>
              <w:textAlignment w:val="baseline"/>
              <w:rPr>
                <w:rFonts w:cs="Arial"/>
                <w:color w:val="365F91" w:themeColor="accent1" w:themeShade="BF"/>
                <w:szCs w:val="24"/>
                <w:lang w:eastAsia="en-GB"/>
              </w:rPr>
            </w:pPr>
            <w:r w:rsidRPr="002953A3">
              <w:rPr>
                <w:rFonts w:cs="Arial"/>
                <w:color w:val="365F91" w:themeColor="accent1" w:themeShade="BF"/>
                <w:szCs w:val="24"/>
                <w:lang w:eastAsia="en-GB"/>
              </w:rPr>
              <w:t>Receipted up to £100 per night</w:t>
            </w:r>
          </w:p>
        </w:tc>
      </w:tr>
      <w:tr w:rsidR="002953A3" w:rsidRPr="002953A3" w:rsidTr="002953A3">
        <w:tc>
          <w:tcPr>
            <w:tcW w:w="4626" w:type="dxa"/>
            <w:hideMark/>
          </w:tcPr>
          <w:p w:rsidR="002953A3" w:rsidRPr="002953A3" w:rsidRDefault="002953A3" w:rsidP="002953A3">
            <w:pPr>
              <w:textAlignment w:val="baseline"/>
              <w:rPr>
                <w:rFonts w:cs="Arial"/>
                <w:color w:val="365F91" w:themeColor="accent1" w:themeShade="BF"/>
                <w:szCs w:val="24"/>
                <w:lang w:eastAsia="en-GB"/>
              </w:rPr>
            </w:pPr>
            <w:r w:rsidRPr="002953A3">
              <w:rPr>
                <w:rFonts w:cs="Arial"/>
                <w:color w:val="365F91" w:themeColor="accent1" w:themeShade="BF"/>
                <w:szCs w:val="24"/>
                <w:lang w:eastAsia="en-GB"/>
              </w:rPr>
              <w:t>Bed and breakfast elsewhere</w:t>
            </w:r>
          </w:p>
          <w:p w:rsidR="002953A3" w:rsidRPr="002953A3" w:rsidRDefault="002953A3" w:rsidP="002953A3">
            <w:pPr>
              <w:textAlignment w:val="baseline"/>
              <w:rPr>
                <w:rFonts w:cs="Arial"/>
                <w:color w:val="365F91" w:themeColor="accent1" w:themeShade="BF"/>
                <w:szCs w:val="24"/>
                <w:lang w:eastAsia="en-GB"/>
              </w:rPr>
            </w:pPr>
            <w:r w:rsidRPr="002953A3">
              <w:rPr>
                <w:rFonts w:cs="Arial"/>
                <w:color w:val="365F91" w:themeColor="accent1" w:themeShade="BF"/>
                <w:szCs w:val="24"/>
                <w:lang w:eastAsia="en-GB"/>
              </w:rPr>
              <w:t>(does not cover items such as charges for viewing films or use of a mini bar)</w:t>
            </w:r>
          </w:p>
        </w:tc>
        <w:tc>
          <w:tcPr>
            <w:tcW w:w="757" w:type="dxa"/>
            <w:hideMark/>
          </w:tcPr>
          <w:p w:rsidR="002953A3" w:rsidRPr="002953A3" w:rsidRDefault="002953A3" w:rsidP="002953A3">
            <w:pPr>
              <w:textAlignment w:val="baseline"/>
              <w:rPr>
                <w:rFonts w:cs="Arial"/>
                <w:color w:val="365F91" w:themeColor="accent1" w:themeShade="BF"/>
                <w:szCs w:val="24"/>
                <w:lang w:eastAsia="en-GB"/>
              </w:rPr>
            </w:pPr>
            <w:proofErr w:type="spellStart"/>
            <w:r w:rsidRPr="002953A3">
              <w:rPr>
                <w:rFonts w:cs="Arial"/>
                <w:color w:val="365F91" w:themeColor="accent1" w:themeShade="BF"/>
                <w:szCs w:val="24"/>
                <w:lang w:eastAsia="en-GB"/>
              </w:rPr>
              <w:t>BBER</w:t>
            </w:r>
            <w:proofErr w:type="spellEnd"/>
          </w:p>
        </w:tc>
        <w:tc>
          <w:tcPr>
            <w:tcW w:w="3633" w:type="dxa"/>
            <w:hideMark/>
          </w:tcPr>
          <w:p w:rsidR="002953A3" w:rsidRPr="002953A3" w:rsidRDefault="002953A3" w:rsidP="002953A3">
            <w:pPr>
              <w:textAlignment w:val="baseline"/>
              <w:rPr>
                <w:rFonts w:cs="Arial"/>
                <w:color w:val="365F91" w:themeColor="accent1" w:themeShade="BF"/>
                <w:szCs w:val="24"/>
                <w:lang w:eastAsia="en-GB"/>
              </w:rPr>
            </w:pPr>
            <w:r w:rsidRPr="002953A3">
              <w:rPr>
                <w:rFonts w:cs="Arial"/>
                <w:color w:val="365F91" w:themeColor="accent1" w:themeShade="BF"/>
                <w:szCs w:val="24"/>
                <w:lang w:eastAsia="en-GB"/>
              </w:rPr>
              <w:t>Receipted up to £75 per night</w:t>
            </w:r>
          </w:p>
        </w:tc>
      </w:tr>
      <w:tr w:rsidR="002953A3" w:rsidRPr="002953A3" w:rsidTr="002953A3">
        <w:tc>
          <w:tcPr>
            <w:tcW w:w="4626" w:type="dxa"/>
            <w:hideMark/>
          </w:tcPr>
          <w:p w:rsidR="002953A3" w:rsidRPr="002953A3" w:rsidRDefault="002953A3" w:rsidP="002953A3">
            <w:pPr>
              <w:textAlignment w:val="baseline"/>
              <w:rPr>
                <w:rFonts w:cs="Arial"/>
                <w:color w:val="365F91" w:themeColor="accent1" w:themeShade="BF"/>
                <w:szCs w:val="24"/>
                <w:lang w:eastAsia="en-GB"/>
              </w:rPr>
            </w:pPr>
            <w:r w:rsidRPr="002953A3">
              <w:rPr>
                <w:rFonts w:cs="Arial"/>
                <w:color w:val="365F91" w:themeColor="accent1" w:themeShade="BF"/>
                <w:szCs w:val="24"/>
                <w:lang w:eastAsia="en-GB"/>
              </w:rPr>
              <w:t>Car hire (including related fuel)</w:t>
            </w:r>
          </w:p>
        </w:tc>
        <w:tc>
          <w:tcPr>
            <w:tcW w:w="757" w:type="dxa"/>
            <w:hideMark/>
          </w:tcPr>
          <w:p w:rsidR="002953A3" w:rsidRPr="002953A3" w:rsidRDefault="002953A3" w:rsidP="002953A3">
            <w:pPr>
              <w:textAlignment w:val="baseline"/>
              <w:rPr>
                <w:rFonts w:cs="Arial"/>
                <w:color w:val="365F91" w:themeColor="accent1" w:themeShade="BF"/>
                <w:szCs w:val="24"/>
                <w:lang w:eastAsia="en-GB"/>
              </w:rPr>
            </w:pPr>
            <w:proofErr w:type="spellStart"/>
            <w:r w:rsidRPr="002953A3">
              <w:rPr>
                <w:rFonts w:cs="Arial"/>
                <w:color w:val="365F91" w:themeColor="accent1" w:themeShade="BF"/>
                <w:szCs w:val="24"/>
                <w:lang w:eastAsia="en-GB"/>
              </w:rPr>
              <w:t>TRCH</w:t>
            </w:r>
            <w:proofErr w:type="spellEnd"/>
          </w:p>
        </w:tc>
        <w:tc>
          <w:tcPr>
            <w:tcW w:w="3633" w:type="dxa"/>
            <w:hideMark/>
          </w:tcPr>
          <w:p w:rsidR="002953A3" w:rsidRPr="002953A3" w:rsidRDefault="002953A3" w:rsidP="002953A3">
            <w:pPr>
              <w:textAlignment w:val="baseline"/>
              <w:rPr>
                <w:rFonts w:cs="Arial"/>
                <w:color w:val="365F91" w:themeColor="accent1" w:themeShade="BF"/>
                <w:szCs w:val="24"/>
                <w:lang w:eastAsia="en-GB"/>
              </w:rPr>
            </w:pPr>
            <w:r w:rsidRPr="002953A3">
              <w:rPr>
                <w:rFonts w:cs="Arial"/>
                <w:color w:val="365F91" w:themeColor="accent1" w:themeShade="BF"/>
                <w:szCs w:val="24"/>
                <w:lang w:eastAsia="en-GB"/>
              </w:rPr>
              <w:t>Receipted, no maximum</w:t>
            </w:r>
          </w:p>
        </w:tc>
      </w:tr>
      <w:tr w:rsidR="002953A3" w:rsidRPr="002953A3" w:rsidTr="002953A3">
        <w:tc>
          <w:tcPr>
            <w:tcW w:w="4626" w:type="dxa"/>
            <w:hideMark/>
          </w:tcPr>
          <w:p w:rsidR="002953A3" w:rsidRPr="002953A3" w:rsidRDefault="002953A3" w:rsidP="002953A3">
            <w:pPr>
              <w:textAlignment w:val="baseline"/>
              <w:rPr>
                <w:rFonts w:cs="Arial"/>
                <w:color w:val="365F91" w:themeColor="accent1" w:themeShade="BF"/>
                <w:szCs w:val="24"/>
                <w:lang w:eastAsia="en-GB"/>
              </w:rPr>
            </w:pPr>
            <w:r w:rsidRPr="002953A3">
              <w:rPr>
                <w:rFonts w:cs="Arial"/>
                <w:color w:val="365F91" w:themeColor="accent1" w:themeShade="BF"/>
                <w:szCs w:val="24"/>
                <w:lang w:eastAsia="en-GB"/>
              </w:rPr>
              <w:t>Car parking</w:t>
            </w:r>
          </w:p>
        </w:tc>
        <w:tc>
          <w:tcPr>
            <w:tcW w:w="757" w:type="dxa"/>
            <w:hideMark/>
          </w:tcPr>
          <w:p w:rsidR="002953A3" w:rsidRPr="002953A3" w:rsidRDefault="002953A3" w:rsidP="002953A3">
            <w:pPr>
              <w:textAlignment w:val="baseline"/>
              <w:rPr>
                <w:rFonts w:cs="Arial"/>
                <w:color w:val="365F91" w:themeColor="accent1" w:themeShade="BF"/>
                <w:szCs w:val="24"/>
                <w:lang w:eastAsia="en-GB"/>
              </w:rPr>
            </w:pPr>
            <w:proofErr w:type="spellStart"/>
            <w:r w:rsidRPr="002953A3">
              <w:rPr>
                <w:rFonts w:cs="Arial"/>
                <w:color w:val="365F91" w:themeColor="accent1" w:themeShade="BF"/>
                <w:szCs w:val="24"/>
                <w:lang w:eastAsia="en-GB"/>
              </w:rPr>
              <w:t>TRCP</w:t>
            </w:r>
            <w:proofErr w:type="spellEnd"/>
          </w:p>
        </w:tc>
        <w:tc>
          <w:tcPr>
            <w:tcW w:w="3633" w:type="dxa"/>
            <w:hideMark/>
          </w:tcPr>
          <w:p w:rsidR="002953A3" w:rsidRPr="002953A3" w:rsidRDefault="002953A3" w:rsidP="002953A3">
            <w:pPr>
              <w:textAlignment w:val="baseline"/>
              <w:rPr>
                <w:rFonts w:cs="Arial"/>
                <w:color w:val="365F91" w:themeColor="accent1" w:themeShade="BF"/>
                <w:szCs w:val="24"/>
                <w:lang w:eastAsia="en-GB"/>
              </w:rPr>
            </w:pPr>
            <w:r w:rsidRPr="002953A3">
              <w:rPr>
                <w:rFonts w:cs="Arial"/>
                <w:color w:val="365F91" w:themeColor="accent1" w:themeShade="BF"/>
                <w:szCs w:val="24"/>
                <w:lang w:eastAsia="en-GB"/>
              </w:rPr>
              <w:t>Receipted, no maximum</w:t>
            </w:r>
          </w:p>
        </w:tc>
      </w:tr>
      <w:tr w:rsidR="002953A3" w:rsidRPr="002953A3" w:rsidTr="002953A3">
        <w:tc>
          <w:tcPr>
            <w:tcW w:w="4626" w:type="dxa"/>
            <w:hideMark/>
          </w:tcPr>
          <w:p w:rsidR="002953A3" w:rsidRPr="002953A3" w:rsidRDefault="002953A3" w:rsidP="002953A3">
            <w:pPr>
              <w:textAlignment w:val="baseline"/>
              <w:rPr>
                <w:rFonts w:cs="Arial"/>
                <w:color w:val="365F91" w:themeColor="accent1" w:themeShade="BF"/>
                <w:szCs w:val="24"/>
                <w:lang w:eastAsia="en-GB"/>
              </w:rPr>
            </w:pPr>
            <w:r w:rsidRPr="002953A3">
              <w:rPr>
                <w:rFonts w:cs="Arial"/>
                <w:color w:val="365F91" w:themeColor="accent1" w:themeShade="BF"/>
                <w:szCs w:val="24"/>
                <w:lang w:eastAsia="en-GB"/>
              </w:rPr>
              <w:t>Day subsistence over 5 hours</w:t>
            </w:r>
          </w:p>
        </w:tc>
        <w:tc>
          <w:tcPr>
            <w:tcW w:w="757" w:type="dxa"/>
            <w:hideMark/>
          </w:tcPr>
          <w:p w:rsidR="002953A3" w:rsidRPr="002953A3" w:rsidRDefault="002953A3" w:rsidP="002953A3">
            <w:pPr>
              <w:textAlignment w:val="baseline"/>
              <w:rPr>
                <w:rFonts w:cs="Arial"/>
                <w:color w:val="365F91" w:themeColor="accent1" w:themeShade="BF"/>
                <w:szCs w:val="24"/>
                <w:lang w:eastAsia="en-GB"/>
              </w:rPr>
            </w:pPr>
            <w:proofErr w:type="spellStart"/>
            <w:r w:rsidRPr="002953A3">
              <w:rPr>
                <w:rFonts w:cs="Arial"/>
                <w:color w:val="365F91" w:themeColor="accent1" w:themeShade="BF"/>
                <w:szCs w:val="24"/>
                <w:lang w:eastAsia="en-GB"/>
              </w:rPr>
              <w:t>DSFH</w:t>
            </w:r>
            <w:proofErr w:type="spellEnd"/>
          </w:p>
        </w:tc>
        <w:tc>
          <w:tcPr>
            <w:tcW w:w="3633" w:type="dxa"/>
            <w:hideMark/>
          </w:tcPr>
          <w:p w:rsidR="002953A3" w:rsidRPr="002953A3" w:rsidRDefault="002953A3" w:rsidP="002953A3">
            <w:pPr>
              <w:textAlignment w:val="baseline"/>
              <w:rPr>
                <w:rFonts w:cs="Arial"/>
                <w:color w:val="365F91" w:themeColor="accent1" w:themeShade="BF"/>
                <w:szCs w:val="24"/>
                <w:lang w:eastAsia="en-GB"/>
              </w:rPr>
            </w:pPr>
            <w:r w:rsidRPr="002953A3">
              <w:rPr>
                <w:rFonts w:cs="Arial"/>
                <w:color w:val="365F91" w:themeColor="accent1" w:themeShade="BF"/>
                <w:szCs w:val="24"/>
                <w:lang w:eastAsia="en-GB"/>
              </w:rPr>
              <w:t>Receipted up to £4.90 per day</w:t>
            </w:r>
          </w:p>
        </w:tc>
      </w:tr>
      <w:tr w:rsidR="002953A3" w:rsidRPr="002953A3" w:rsidTr="002953A3">
        <w:tc>
          <w:tcPr>
            <w:tcW w:w="4626" w:type="dxa"/>
            <w:hideMark/>
          </w:tcPr>
          <w:p w:rsidR="002953A3" w:rsidRPr="002953A3" w:rsidRDefault="002953A3" w:rsidP="002953A3">
            <w:pPr>
              <w:textAlignment w:val="baseline"/>
              <w:rPr>
                <w:rFonts w:cs="Arial"/>
                <w:color w:val="365F91" w:themeColor="accent1" w:themeShade="BF"/>
                <w:szCs w:val="24"/>
                <w:lang w:eastAsia="en-GB"/>
              </w:rPr>
            </w:pPr>
            <w:r w:rsidRPr="002953A3">
              <w:rPr>
                <w:rFonts w:cs="Arial"/>
                <w:color w:val="365F91" w:themeColor="accent1" w:themeShade="BF"/>
                <w:szCs w:val="24"/>
                <w:lang w:eastAsia="en-GB"/>
              </w:rPr>
              <w:t>Day subsistence over 10 hours</w:t>
            </w:r>
          </w:p>
        </w:tc>
        <w:tc>
          <w:tcPr>
            <w:tcW w:w="757" w:type="dxa"/>
            <w:hideMark/>
          </w:tcPr>
          <w:p w:rsidR="002953A3" w:rsidRPr="002953A3" w:rsidRDefault="002953A3" w:rsidP="002953A3">
            <w:pPr>
              <w:textAlignment w:val="baseline"/>
              <w:rPr>
                <w:rFonts w:cs="Arial"/>
                <w:color w:val="365F91" w:themeColor="accent1" w:themeShade="BF"/>
                <w:szCs w:val="24"/>
                <w:lang w:eastAsia="en-GB"/>
              </w:rPr>
            </w:pPr>
            <w:proofErr w:type="spellStart"/>
            <w:r w:rsidRPr="002953A3">
              <w:rPr>
                <w:rFonts w:cs="Arial"/>
                <w:color w:val="365F91" w:themeColor="accent1" w:themeShade="BF"/>
                <w:szCs w:val="24"/>
                <w:lang w:eastAsia="en-GB"/>
              </w:rPr>
              <w:t>DSTH</w:t>
            </w:r>
            <w:proofErr w:type="spellEnd"/>
          </w:p>
        </w:tc>
        <w:tc>
          <w:tcPr>
            <w:tcW w:w="3633" w:type="dxa"/>
            <w:hideMark/>
          </w:tcPr>
          <w:p w:rsidR="002953A3" w:rsidRPr="002953A3" w:rsidRDefault="002953A3" w:rsidP="002953A3">
            <w:pPr>
              <w:textAlignment w:val="baseline"/>
              <w:rPr>
                <w:rFonts w:cs="Arial"/>
                <w:color w:val="365F91" w:themeColor="accent1" w:themeShade="BF"/>
                <w:szCs w:val="24"/>
                <w:lang w:eastAsia="en-GB"/>
              </w:rPr>
            </w:pPr>
            <w:r w:rsidRPr="002953A3">
              <w:rPr>
                <w:rFonts w:cs="Arial"/>
                <w:color w:val="365F91" w:themeColor="accent1" w:themeShade="BF"/>
                <w:szCs w:val="24"/>
                <w:lang w:eastAsia="en-GB"/>
              </w:rPr>
              <w:t>Receipted up to £10.70 per day</w:t>
            </w:r>
          </w:p>
        </w:tc>
      </w:tr>
      <w:tr w:rsidR="002953A3" w:rsidRPr="002953A3" w:rsidTr="002953A3">
        <w:tc>
          <w:tcPr>
            <w:tcW w:w="4626" w:type="dxa"/>
            <w:hideMark/>
          </w:tcPr>
          <w:p w:rsidR="002953A3" w:rsidRPr="002953A3" w:rsidRDefault="002953A3" w:rsidP="002953A3">
            <w:pPr>
              <w:textAlignment w:val="baseline"/>
              <w:rPr>
                <w:rFonts w:cs="Arial"/>
                <w:color w:val="365F91" w:themeColor="accent1" w:themeShade="BF"/>
                <w:szCs w:val="24"/>
                <w:lang w:eastAsia="en-GB"/>
              </w:rPr>
            </w:pPr>
            <w:r w:rsidRPr="002953A3">
              <w:rPr>
                <w:rFonts w:cs="Arial"/>
                <w:color w:val="365F91" w:themeColor="accent1" w:themeShade="BF"/>
                <w:szCs w:val="24"/>
                <w:lang w:eastAsia="en-GB"/>
              </w:rPr>
              <w:t>Equipment supplement</w:t>
            </w:r>
          </w:p>
        </w:tc>
        <w:tc>
          <w:tcPr>
            <w:tcW w:w="757" w:type="dxa"/>
            <w:hideMark/>
          </w:tcPr>
          <w:p w:rsidR="002953A3" w:rsidRPr="002953A3" w:rsidRDefault="002953A3" w:rsidP="002953A3">
            <w:pPr>
              <w:textAlignment w:val="baseline"/>
              <w:rPr>
                <w:rFonts w:cs="Arial"/>
                <w:color w:val="365F91" w:themeColor="accent1" w:themeShade="BF"/>
                <w:szCs w:val="24"/>
                <w:lang w:eastAsia="en-GB"/>
              </w:rPr>
            </w:pPr>
            <w:proofErr w:type="spellStart"/>
            <w:r w:rsidRPr="002953A3">
              <w:rPr>
                <w:rFonts w:cs="Arial"/>
                <w:color w:val="365F91" w:themeColor="accent1" w:themeShade="BF"/>
                <w:szCs w:val="24"/>
                <w:lang w:eastAsia="en-GB"/>
              </w:rPr>
              <w:t>ESMR</w:t>
            </w:r>
            <w:proofErr w:type="spellEnd"/>
          </w:p>
        </w:tc>
        <w:tc>
          <w:tcPr>
            <w:tcW w:w="3633" w:type="dxa"/>
            <w:hideMark/>
          </w:tcPr>
          <w:p w:rsidR="002953A3" w:rsidRPr="002953A3" w:rsidRDefault="002953A3" w:rsidP="002953A3">
            <w:pPr>
              <w:textAlignment w:val="baseline"/>
              <w:rPr>
                <w:rFonts w:cs="Arial"/>
                <w:color w:val="365F91" w:themeColor="accent1" w:themeShade="BF"/>
                <w:szCs w:val="24"/>
                <w:lang w:eastAsia="en-GB"/>
              </w:rPr>
            </w:pPr>
            <w:r w:rsidRPr="002953A3">
              <w:rPr>
                <w:rFonts w:cs="Arial"/>
                <w:color w:val="365F91" w:themeColor="accent1" w:themeShade="BF"/>
                <w:szCs w:val="24"/>
                <w:lang w:eastAsia="en-GB"/>
              </w:rPr>
              <w:t>£0.03 per mile</w:t>
            </w:r>
          </w:p>
        </w:tc>
      </w:tr>
      <w:tr w:rsidR="002953A3" w:rsidRPr="002953A3" w:rsidTr="002953A3">
        <w:tc>
          <w:tcPr>
            <w:tcW w:w="4626" w:type="dxa"/>
            <w:hideMark/>
          </w:tcPr>
          <w:p w:rsidR="002953A3" w:rsidRPr="002953A3" w:rsidRDefault="002953A3" w:rsidP="002953A3">
            <w:pPr>
              <w:textAlignment w:val="baseline"/>
              <w:rPr>
                <w:rFonts w:cs="Arial"/>
                <w:color w:val="365F91" w:themeColor="accent1" w:themeShade="BF"/>
                <w:szCs w:val="24"/>
                <w:lang w:eastAsia="en-GB"/>
              </w:rPr>
            </w:pPr>
            <w:r w:rsidRPr="002953A3">
              <w:rPr>
                <w:rFonts w:cs="Arial"/>
                <w:color w:val="365F91" w:themeColor="accent1" w:themeShade="BF"/>
                <w:szCs w:val="24"/>
                <w:lang w:eastAsia="en-GB"/>
              </w:rPr>
              <w:t>Foreign travel night and day subsistence</w:t>
            </w:r>
          </w:p>
        </w:tc>
        <w:tc>
          <w:tcPr>
            <w:tcW w:w="757" w:type="dxa"/>
            <w:hideMark/>
          </w:tcPr>
          <w:p w:rsidR="002953A3" w:rsidRPr="002953A3" w:rsidRDefault="002953A3" w:rsidP="002953A3">
            <w:pPr>
              <w:textAlignment w:val="baseline"/>
              <w:rPr>
                <w:rFonts w:cs="Arial"/>
                <w:color w:val="365F91" w:themeColor="accent1" w:themeShade="BF"/>
                <w:szCs w:val="24"/>
                <w:lang w:eastAsia="en-GB"/>
              </w:rPr>
            </w:pPr>
            <w:proofErr w:type="spellStart"/>
            <w:r w:rsidRPr="002953A3">
              <w:rPr>
                <w:rFonts w:cs="Arial"/>
                <w:color w:val="365F91" w:themeColor="accent1" w:themeShade="BF"/>
                <w:szCs w:val="24"/>
                <w:lang w:eastAsia="en-GB"/>
              </w:rPr>
              <w:t>FTND</w:t>
            </w:r>
            <w:proofErr w:type="spellEnd"/>
          </w:p>
        </w:tc>
        <w:tc>
          <w:tcPr>
            <w:tcW w:w="3633" w:type="dxa"/>
            <w:hideMark/>
          </w:tcPr>
          <w:p w:rsidR="002953A3" w:rsidRPr="002953A3" w:rsidRDefault="002953A3" w:rsidP="002953A3">
            <w:pPr>
              <w:textAlignment w:val="baseline"/>
              <w:rPr>
                <w:rFonts w:cs="Arial"/>
                <w:color w:val="365F91" w:themeColor="accent1" w:themeShade="BF"/>
                <w:szCs w:val="24"/>
                <w:lang w:eastAsia="en-GB"/>
              </w:rPr>
            </w:pPr>
            <w:r w:rsidRPr="002953A3">
              <w:rPr>
                <w:rFonts w:cs="Arial"/>
                <w:color w:val="365F91" w:themeColor="accent1" w:themeShade="BF"/>
                <w:szCs w:val="24"/>
                <w:lang w:eastAsia="en-GB"/>
              </w:rPr>
              <w:t xml:space="preserve">Receipted, per night/day (contact </w:t>
            </w:r>
            <w:proofErr w:type="spellStart"/>
            <w:r w:rsidRPr="002953A3">
              <w:rPr>
                <w:rFonts w:cs="Arial"/>
                <w:color w:val="365F91" w:themeColor="accent1" w:themeShade="BF"/>
                <w:szCs w:val="24"/>
                <w:lang w:eastAsia="en-GB"/>
              </w:rPr>
              <w:t>T&amp;S</w:t>
            </w:r>
            <w:proofErr w:type="spellEnd"/>
            <w:r w:rsidRPr="002953A3">
              <w:rPr>
                <w:rFonts w:cs="Arial"/>
                <w:color w:val="365F91" w:themeColor="accent1" w:themeShade="BF"/>
                <w:szCs w:val="24"/>
                <w:lang w:eastAsia="en-GB"/>
              </w:rPr>
              <w:t xml:space="preserve"> team for ceilings)</w:t>
            </w:r>
          </w:p>
        </w:tc>
      </w:tr>
      <w:tr w:rsidR="002953A3" w:rsidRPr="002953A3" w:rsidTr="002953A3">
        <w:tc>
          <w:tcPr>
            <w:tcW w:w="4626" w:type="dxa"/>
            <w:hideMark/>
          </w:tcPr>
          <w:p w:rsidR="002953A3" w:rsidRPr="002953A3" w:rsidRDefault="002953A3" w:rsidP="002953A3">
            <w:pPr>
              <w:textAlignment w:val="baseline"/>
              <w:rPr>
                <w:rFonts w:cs="Arial"/>
                <w:color w:val="365F91" w:themeColor="accent1" w:themeShade="BF"/>
                <w:szCs w:val="24"/>
                <w:lang w:eastAsia="en-GB"/>
              </w:rPr>
            </w:pPr>
            <w:r w:rsidRPr="002953A3">
              <w:rPr>
                <w:rFonts w:cs="Arial"/>
                <w:color w:val="365F91" w:themeColor="accent1" w:themeShade="BF"/>
                <w:szCs w:val="24"/>
                <w:lang w:eastAsia="en-GB"/>
              </w:rPr>
              <w:t>Foreign travel other expenses</w:t>
            </w:r>
          </w:p>
        </w:tc>
        <w:tc>
          <w:tcPr>
            <w:tcW w:w="757" w:type="dxa"/>
            <w:hideMark/>
          </w:tcPr>
          <w:p w:rsidR="002953A3" w:rsidRPr="002953A3" w:rsidRDefault="002953A3" w:rsidP="002953A3">
            <w:pPr>
              <w:textAlignment w:val="baseline"/>
              <w:rPr>
                <w:rFonts w:cs="Arial"/>
                <w:color w:val="365F91" w:themeColor="accent1" w:themeShade="BF"/>
                <w:szCs w:val="24"/>
                <w:lang w:eastAsia="en-GB"/>
              </w:rPr>
            </w:pPr>
            <w:proofErr w:type="spellStart"/>
            <w:r w:rsidRPr="002953A3">
              <w:rPr>
                <w:rFonts w:cs="Arial"/>
                <w:color w:val="365F91" w:themeColor="accent1" w:themeShade="BF"/>
                <w:szCs w:val="24"/>
                <w:lang w:eastAsia="en-GB"/>
              </w:rPr>
              <w:t>FTOE</w:t>
            </w:r>
            <w:proofErr w:type="spellEnd"/>
          </w:p>
        </w:tc>
        <w:tc>
          <w:tcPr>
            <w:tcW w:w="3633" w:type="dxa"/>
            <w:hideMark/>
          </w:tcPr>
          <w:p w:rsidR="002953A3" w:rsidRPr="002953A3" w:rsidRDefault="002953A3" w:rsidP="002953A3">
            <w:pPr>
              <w:textAlignment w:val="baseline"/>
              <w:rPr>
                <w:rFonts w:cs="Arial"/>
                <w:color w:val="365F91" w:themeColor="accent1" w:themeShade="BF"/>
                <w:szCs w:val="24"/>
                <w:lang w:eastAsia="en-GB"/>
              </w:rPr>
            </w:pPr>
            <w:r w:rsidRPr="002953A3">
              <w:rPr>
                <w:rFonts w:cs="Arial"/>
                <w:color w:val="365F91" w:themeColor="accent1" w:themeShade="BF"/>
                <w:szCs w:val="24"/>
                <w:lang w:eastAsia="en-GB"/>
              </w:rPr>
              <w:t>Receipted, no maximum</w:t>
            </w:r>
          </w:p>
        </w:tc>
      </w:tr>
      <w:tr w:rsidR="002953A3" w:rsidRPr="002953A3" w:rsidTr="002953A3">
        <w:tc>
          <w:tcPr>
            <w:tcW w:w="4626" w:type="dxa"/>
            <w:hideMark/>
          </w:tcPr>
          <w:p w:rsidR="002953A3" w:rsidRPr="002953A3" w:rsidRDefault="002953A3" w:rsidP="002953A3">
            <w:pPr>
              <w:textAlignment w:val="baseline"/>
              <w:rPr>
                <w:rFonts w:cs="Arial"/>
                <w:color w:val="365F91" w:themeColor="accent1" w:themeShade="BF"/>
                <w:szCs w:val="24"/>
                <w:lang w:eastAsia="en-GB"/>
              </w:rPr>
            </w:pPr>
            <w:r w:rsidRPr="002953A3">
              <w:rPr>
                <w:rFonts w:cs="Arial"/>
                <w:color w:val="365F91" w:themeColor="accent1" w:themeShade="BF"/>
                <w:szCs w:val="24"/>
                <w:lang w:eastAsia="en-GB"/>
              </w:rPr>
              <w:t>Foreign travel air travel</w:t>
            </w:r>
          </w:p>
        </w:tc>
        <w:tc>
          <w:tcPr>
            <w:tcW w:w="757" w:type="dxa"/>
            <w:hideMark/>
          </w:tcPr>
          <w:p w:rsidR="002953A3" w:rsidRPr="002953A3" w:rsidRDefault="002953A3" w:rsidP="002953A3">
            <w:pPr>
              <w:textAlignment w:val="baseline"/>
              <w:rPr>
                <w:rFonts w:cs="Arial"/>
                <w:color w:val="365F91" w:themeColor="accent1" w:themeShade="BF"/>
                <w:szCs w:val="24"/>
                <w:lang w:eastAsia="en-GB"/>
              </w:rPr>
            </w:pPr>
            <w:proofErr w:type="spellStart"/>
            <w:r w:rsidRPr="002953A3">
              <w:rPr>
                <w:rFonts w:cs="Arial"/>
                <w:color w:val="365F91" w:themeColor="accent1" w:themeShade="BF"/>
                <w:szCs w:val="24"/>
                <w:lang w:eastAsia="en-GB"/>
              </w:rPr>
              <w:t>FTAT</w:t>
            </w:r>
            <w:proofErr w:type="spellEnd"/>
          </w:p>
        </w:tc>
        <w:tc>
          <w:tcPr>
            <w:tcW w:w="3633" w:type="dxa"/>
            <w:hideMark/>
          </w:tcPr>
          <w:p w:rsidR="002953A3" w:rsidRPr="002953A3" w:rsidRDefault="002953A3" w:rsidP="002953A3">
            <w:pPr>
              <w:textAlignment w:val="baseline"/>
              <w:rPr>
                <w:rFonts w:cs="Arial"/>
                <w:color w:val="365F91" w:themeColor="accent1" w:themeShade="BF"/>
                <w:szCs w:val="24"/>
                <w:lang w:eastAsia="en-GB"/>
              </w:rPr>
            </w:pPr>
            <w:r w:rsidRPr="002953A3">
              <w:rPr>
                <w:rFonts w:cs="Arial"/>
                <w:color w:val="365F91" w:themeColor="accent1" w:themeShade="BF"/>
                <w:szCs w:val="24"/>
                <w:lang w:eastAsia="en-GB"/>
              </w:rPr>
              <w:t>Receipted, no maximum</w:t>
            </w:r>
          </w:p>
        </w:tc>
      </w:tr>
      <w:tr w:rsidR="002953A3" w:rsidRPr="002953A3" w:rsidTr="002953A3">
        <w:tc>
          <w:tcPr>
            <w:tcW w:w="4626" w:type="dxa"/>
            <w:hideMark/>
          </w:tcPr>
          <w:p w:rsidR="002953A3" w:rsidRPr="002953A3" w:rsidRDefault="002953A3" w:rsidP="002953A3">
            <w:pPr>
              <w:textAlignment w:val="baseline"/>
              <w:rPr>
                <w:rFonts w:cs="Arial"/>
                <w:color w:val="365F91" w:themeColor="accent1" w:themeShade="BF"/>
                <w:szCs w:val="24"/>
                <w:lang w:eastAsia="en-GB"/>
              </w:rPr>
            </w:pPr>
            <w:r w:rsidRPr="002953A3">
              <w:rPr>
                <w:rFonts w:cs="Arial"/>
                <w:color w:val="365F91" w:themeColor="accent1" w:themeShade="BF"/>
                <w:szCs w:val="24"/>
                <w:lang w:eastAsia="en-GB"/>
              </w:rPr>
              <w:t>Foreign travel rail travel</w:t>
            </w:r>
          </w:p>
        </w:tc>
        <w:tc>
          <w:tcPr>
            <w:tcW w:w="757" w:type="dxa"/>
            <w:hideMark/>
          </w:tcPr>
          <w:p w:rsidR="002953A3" w:rsidRPr="002953A3" w:rsidRDefault="002953A3" w:rsidP="002953A3">
            <w:pPr>
              <w:textAlignment w:val="baseline"/>
              <w:rPr>
                <w:rFonts w:cs="Arial"/>
                <w:color w:val="365F91" w:themeColor="accent1" w:themeShade="BF"/>
                <w:szCs w:val="24"/>
                <w:lang w:eastAsia="en-GB"/>
              </w:rPr>
            </w:pPr>
            <w:proofErr w:type="spellStart"/>
            <w:r w:rsidRPr="002953A3">
              <w:rPr>
                <w:rFonts w:cs="Arial"/>
                <w:color w:val="365F91" w:themeColor="accent1" w:themeShade="BF"/>
                <w:szCs w:val="24"/>
                <w:lang w:eastAsia="en-GB"/>
              </w:rPr>
              <w:t>FTRT</w:t>
            </w:r>
            <w:proofErr w:type="spellEnd"/>
          </w:p>
        </w:tc>
        <w:tc>
          <w:tcPr>
            <w:tcW w:w="3633" w:type="dxa"/>
            <w:hideMark/>
          </w:tcPr>
          <w:p w:rsidR="002953A3" w:rsidRPr="002953A3" w:rsidRDefault="002953A3" w:rsidP="002953A3">
            <w:pPr>
              <w:textAlignment w:val="baseline"/>
              <w:rPr>
                <w:rFonts w:cs="Arial"/>
                <w:color w:val="365F91" w:themeColor="accent1" w:themeShade="BF"/>
                <w:szCs w:val="24"/>
                <w:lang w:eastAsia="en-GB"/>
              </w:rPr>
            </w:pPr>
            <w:r w:rsidRPr="002953A3">
              <w:rPr>
                <w:rFonts w:cs="Arial"/>
                <w:color w:val="365F91" w:themeColor="accent1" w:themeShade="BF"/>
                <w:szCs w:val="24"/>
                <w:lang w:eastAsia="en-GB"/>
              </w:rPr>
              <w:t>Receipted, no maximum</w:t>
            </w:r>
          </w:p>
        </w:tc>
      </w:tr>
      <w:tr w:rsidR="002953A3" w:rsidRPr="002953A3" w:rsidTr="002953A3">
        <w:tc>
          <w:tcPr>
            <w:tcW w:w="4626" w:type="dxa"/>
            <w:hideMark/>
          </w:tcPr>
          <w:p w:rsidR="002953A3" w:rsidRPr="002953A3" w:rsidRDefault="002953A3" w:rsidP="002953A3">
            <w:pPr>
              <w:textAlignment w:val="baseline"/>
              <w:rPr>
                <w:rFonts w:cs="Arial"/>
                <w:color w:val="365F91" w:themeColor="accent1" w:themeShade="BF"/>
                <w:szCs w:val="24"/>
                <w:lang w:eastAsia="en-GB"/>
              </w:rPr>
            </w:pPr>
            <w:r w:rsidRPr="002953A3">
              <w:rPr>
                <w:rFonts w:cs="Arial"/>
                <w:color w:val="365F91" w:themeColor="accent1" w:themeShade="BF"/>
                <w:szCs w:val="24"/>
                <w:lang w:eastAsia="en-GB"/>
              </w:rPr>
              <w:t>Foreign travel taxi travel</w:t>
            </w:r>
          </w:p>
        </w:tc>
        <w:tc>
          <w:tcPr>
            <w:tcW w:w="757" w:type="dxa"/>
            <w:hideMark/>
          </w:tcPr>
          <w:p w:rsidR="002953A3" w:rsidRPr="002953A3" w:rsidRDefault="002953A3" w:rsidP="002953A3">
            <w:pPr>
              <w:textAlignment w:val="baseline"/>
              <w:rPr>
                <w:rFonts w:cs="Arial"/>
                <w:color w:val="365F91" w:themeColor="accent1" w:themeShade="BF"/>
                <w:szCs w:val="24"/>
                <w:lang w:eastAsia="en-GB"/>
              </w:rPr>
            </w:pPr>
            <w:proofErr w:type="spellStart"/>
            <w:r w:rsidRPr="002953A3">
              <w:rPr>
                <w:rFonts w:cs="Arial"/>
                <w:color w:val="365F91" w:themeColor="accent1" w:themeShade="BF"/>
                <w:szCs w:val="24"/>
                <w:lang w:eastAsia="en-GB"/>
              </w:rPr>
              <w:t>FTTT</w:t>
            </w:r>
            <w:proofErr w:type="spellEnd"/>
          </w:p>
        </w:tc>
        <w:tc>
          <w:tcPr>
            <w:tcW w:w="3633" w:type="dxa"/>
            <w:hideMark/>
          </w:tcPr>
          <w:p w:rsidR="002953A3" w:rsidRPr="002953A3" w:rsidRDefault="002953A3" w:rsidP="002953A3">
            <w:pPr>
              <w:textAlignment w:val="baseline"/>
              <w:rPr>
                <w:rFonts w:cs="Arial"/>
                <w:color w:val="365F91" w:themeColor="accent1" w:themeShade="BF"/>
                <w:szCs w:val="24"/>
                <w:lang w:eastAsia="en-GB"/>
              </w:rPr>
            </w:pPr>
            <w:r w:rsidRPr="002953A3">
              <w:rPr>
                <w:rFonts w:cs="Arial"/>
                <w:color w:val="365F91" w:themeColor="accent1" w:themeShade="BF"/>
                <w:szCs w:val="24"/>
                <w:lang w:eastAsia="en-GB"/>
              </w:rPr>
              <w:t>Receipted, no maximum</w:t>
            </w:r>
          </w:p>
        </w:tc>
      </w:tr>
      <w:tr w:rsidR="002953A3" w:rsidRPr="002953A3" w:rsidTr="002953A3">
        <w:tc>
          <w:tcPr>
            <w:tcW w:w="4626" w:type="dxa"/>
            <w:hideMark/>
          </w:tcPr>
          <w:p w:rsidR="002953A3" w:rsidRPr="002953A3" w:rsidRDefault="002953A3" w:rsidP="002953A3">
            <w:pPr>
              <w:textAlignment w:val="baseline"/>
              <w:rPr>
                <w:rFonts w:cs="Arial"/>
                <w:color w:val="365F91" w:themeColor="accent1" w:themeShade="BF"/>
                <w:szCs w:val="24"/>
                <w:lang w:eastAsia="en-GB"/>
              </w:rPr>
            </w:pPr>
            <w:r w:rsidRPr="002953A3">
              <w:rPr>
                <w:rFonts w:cs="Arial"/>
                <w:color w:val="365F91" w:themeColor="accent1" w:themeShade="BF"/>
                <w:szCs w:val="24"/>
                <w:lang w:eastAsia="en-GB"/>
              </w:rPr>
              <w:t>Leased car</w:t>
            </w:r>
          </w:p>
        </w:tc>
        <w:tc>
          <w:tcPr>
            <w:tcW w:w="757" w:type="dxa"/>
            <w:hideMark/>
          </w:tcPr>
          <w:p w:rsidR="002953A3" w:rsidRPr="002953A3" w:rsidRDefault="002953A3" w:rsidP="002953A3">
            <w:pPr>
              <w:textAlignment w:val="baseline"/>
              <w:rPr>
                <w:rFonts w:cs="Arial"/>
                <w:color w:val="365F91" w:themeColor="accent1" w:themeShade="BF"/>
                <w:szCs w:val="24"/>
                <w:lang w:eastAsia="en-GB"/>
              </w:rPr>
            </w:pPr>
            <w:proofErr w:type="spellStart"/>
            <w:r w:rsidRPr="002953A3">
              <w:rPr>
                <w:rFonts w:cs="Arial"/>
                <w:color w:val="365F91" w:themeColor="accent1" w:themeShade="BF"/>
                <w:szCs w:val="24"/>
                <w:lang w:eastAsia="en-GB"/>
              </w:rPr>
              <w:t>MMLC</w:t>
            </w:r>
            <w:proofErr w:type="spellEnd"/>
          </w:p>
        </w:tc>
        <w:tc>
          <w:tcPr>
            <w:tcW w:w="3633" w:type="dxa"/>
            <w:hideMark/>
          </w:tcPr>
          <w:p w:rsidR="002953A3" w:rsidRPr="002953A3" w:rsidRDefault="002953A3" w:rsidP="002953A3">
            <w:pPr>
              <w:textAlignment w:val="baseline"/>
              <w:rPr>
                <w:rFonts w:cs="Arial"/>
                <w:color w:val="365F91" w:themeColor="accent1" w:themeShade="BF"/>
                <w:szCs w:val="24"/>
                <w:lang w:eastAsia="en-GB"/>
              </w:rPr>
            </w:pPr>
            <w:r w:rsidRPr="002953A3">
              <w:rPr>
                <w:rFonts w:cs="Arial"/>
                <w:color w:val="365F91" w:themeColor="accent1" w:themeShade="BF"/>
                <w:szCs w:val="24"/>
                <w:lang w:eastAsia="en-GB"/>
              </w:rPr>
              <w:t>£0.08 per mile</w:t>
            </w:r>
          </w:p>
        </w:tc>
      </w:tr>
      <w:tr w:rsidR="002953A3" w:rsidRPr="002953A3" w:rsidTr="002953A3">
        <w:tc>
          <w:tcPr>
            <w:tcW w:w="4626" w:type="dxa"/>
            <w:hideMark/>
          </w:tcPr>
          <w:p w:rsidR="002953A3" w:rsidRPr="002953A3" w:rsidRDefault="002953A3" w:rsidP="002953A3">
            <w:pPr>
              <w:textAlignment w:val="baseline"/>
              <w:rPr>
                <w:rFonts w:cs="Arial"/>
                <w:color w:val="365F91" w:themeColor="accent1" w:themeShade="BF"/>
                <w:szCs w:val="24"/>
                <w:lang w:eastAsia="en-GB"/>
              </w:rPr>
            </w:pPr>
            <w:r w:rsidRPr="002953A3">
              <w:rPr>
                <w:rFonts w:cs="Arial"/>
                <w:color w:val="365F91" w:themeColor="accent1" w:themeShade="BF"/>
                <w:szCs w:val="24"/>
                <w:lang w:eastAsia="en-GB"/>
              </w:rPr>
              <w:t>Lodging allowance London</w:t>
            </w:r>
          </w:p>
        </w:tc>
        <w:tc>
          <w:tcPr>
            <w:tcW w:w="757" w:type="dxa"/>
            <w:hideMark/>
          </w:tcPr>
          <w:p w:rsidR="002953A3" w:rsidRPr="002953A3" w:rsidRDefault="002953A3" w:rsidP="002953A3">
            <w:pPr>
              <w:textAlignment w:val="baseline"/>
              <w:rPr>
                <w:rFonts w:cs="Arial"/>
                <w:color w:val="365F91" w:themeColor="accent1" w:themeShade="BF"/>
                <w:szCs w:val="24"/>
                <w:lang w:eastAsia="en-GB"/>
              </w:rPr>
            </w:pPr>
            <w:proofErr w:type="spellStart"/>
            <w:r w:rsidRPr="002953A3">
              <w:rPr>
                <w:rFonts w:cs="Arial"/>
                <w:color w:val="365F91" w:themeColor="accent1" w:themeShade="BF"/>
                <w:szCs w:val="24"/>
                <w:lang w:eastAsia="en-GB"/>
              </w:rPr>
              <w:t>LALR</w:t>
            </w:r>
            <w:proofErr w:type="spellEnd"/>
          </w:p>
        </w:tc>
        <w:tc>
          <w:tcPr>
            <w:tcW w:w="3633" w:type="dxa"/>
            <w:hideMark/>
          </w:tcPr>
          <w:p w:rsidR="002953A3" w:rsidRPr="002953A3" w:rsidRDefault="002953A3" w:rsidP="002953A3">
            <w:pPr>
              <w:textAlignment w:val="baseline"/>
              <w:rPr>
                <w:rFonts w:cs="Arial"/>
                <w:color w:val="365F91" w:themeColor="accent1" w:themeShade="BF"/>
                <w:szCs w:val="24"/>
                <w:lang w:eastAsia="en-GB"/>
              </w:rPr>
            </w:pPr>
            <w:r w:rsidRPr="002953A3">
              <w:rPr>
                <w:rFonts w:cs="Arial"/>
                <w:color w:val="365F91" w:themeColor="accent1" w:themeShade="BF"/>
                <w:szCs w:val="24"/>
                <w:lang w:eastAsia="en-GB"/>
              </w:rPr>
              <w:t>Receipted up to £42.25 per night</w:t>
            </w:r>
          </w:p>
        </w:tc>
      </w:tr>
      <w:tr w:rsidR="002953A3" w:rsidRPr="002953A3" w:rsidTr="002953A3">
        <w:tc>
          <w:tcPr>
            <w:tcW w:w="4626" w:type="dxa"/>
            <w:hideMark/>
          </w:tcPr>
          <w:p w:rsidR="002953A3" w:rsidRPr="002953A3" w:rsidRDefault="002953A3" w:rsidP="002953A3">
            <w:pPr>
              <w:textAlignment w:val="baseline"/>
              <w:rPr>
                <w:rFonts w:cs="Arial"/>
                <w:color w:val="365F91" w:themeColor="accent1" w:themeShade="BF"/>
                <w:szCs w:val="24"/>
                <w:lang w:eastAsia="en-GB"/>
              </w:rPr>
            </w:pPr>
            <w:r w:rsidRPr="002953A3">
              <w:rPr>
                <w:rFonts w:cs="Arial"/>
                <w:color w:val="365F91" w:themeColor="accent1" w:themeShade="BF"/>
                <w:szCs w:val="24"/>
                <w:lang w:eastAsia="en-GB"/>
              </w:rPr>
              <w:t>Lodging allowance elsewhere</w:t>
            </w:r>
          </w:p>
        </w:tc>
        <w:tc>
          <w:tcPr>
            <w:tcW w:w="757" w:type="dxa"/>
            <w:hideMark/>
          </w:tcPr>
          <w:p w:rsidR="002953A3" w:rsidRPr="002953A3" w:rsidRDefault="002953A3" w:rsidP="002953A3">
            <w:pPr>
              <w:textAlignment w:val="baseline"/>
              <w:rPr>
                <w:rFonts w:cs="Arial"/>
                <w:color w:val="365F91" w:themeColor="accent1" w:themeShade="BF"/>
                <w:szCs w:val="24"/>
                <w:lang w:eastAsia="en-GB"/>
              </w:rPr>
            </w:pPr>
            <w:proofErr w:type="spellStart"/>
            <w:r w:rsidRPr="002953A3">
              <w:rPr>
                <w:rFonts w:cs="Arial"/>
                <w:color w:val="365F91" w:themeColor="accent1" w:themeShade="BF"/>
                <w:szCs w:val="24"/>
                <w:lang w:eastAsia="en-GB"/>
              </w:rPr>
              <w:t>LAER</w:t>
            </w:r>
            <w:proofErr w:type="spellEnd"/>
          </w:p>
        </w:tc>
        <w:tc>
          <w:tcPr>
            <w:tcW w:w="3633" w:type="dxa"/>
            <w:hideMark/>
          </w:tcPr>
          <w:p w:rsidR="002953A3" w:rsidRPr="002953A3" w:rsidRDefault="002953A3" w:rsidP="002953A3">
            <w:pPr>
              <w:textAlignment w:val="baseline"/>
              <w:rPr>
                <w:rFonts w:cs="Arial"/>
                <w:color w:val="365F91" w:themeColor="accent1" w:themeShade="BF"/>
                <w:szCs w:val="24"/>
                <w:lang w:eastAsia="en-GB"/>
              </w:rPr>
            </w:pPr>
            <w:r w:rsidRPr="002953A3">
              <w:rPr>
                <w:rFonts w:cs="Arial"/>
                <w:color w:val="365F91" w:themeColor="accent1" w:themeShade="BF"/>
                <w:szCs w:val="24"/>
                <w:lang w:eastAsia="en-GB"/>
              </w:rPr>
              <w:t>Receipted up to £37.40 per night</w:t>
            </w:r>
          </w:p>
        </w:tc>
      </w:tr>
      <w:tr w:rsidR="002953A3" w:rsidRPr="002953A3" w:rsidTr="002953A3">
        <w:tc>
          <w:tcPr>
            <w:tcW w:w="4626" w:type="dxa"/>
            <w:hideMark/>
          </w:tcPr>
          <w:p w:rsidR="002953A3" w:rsidRPr="002953A3" w:rsidRDefault="002953A3" w:rsidP="002953A3">
            <w:pPr>
              <w:textAlignment w:val="baseline"/>
              <w:rPr>
                <w:rFonts w:cs="Arial"/>
                <w:color w:val="365F91" w:themeColor="accent1" w:themeShade="BF"/>
                <w:szCs w:val="24"/>
                <w:lang w:eastAsia="en-GB"/>
              </w:rPr>
            </w:pPr>
            <w:r w:rsidRPr="002953A3">
              <w:rPr>
                <w:rFonts w:cs="Arial"/>
                <w:color w:val="365F91" w:themeColor="accent1" w:themeShade="BF"/>
                <w:szCs w:val="24"/>
                <w:lang w:eastAsia="en-GB"/>
              </w:rPr>
              <w:t>Meals allowance London</w:t>
            </w:r>
          </w:p>
        </w:tc>
        <w:tc>
          <w:tcPr>
            <w:tcW w:w="757" w:type="dxa"/>
            <w:hideMark/>
          </w:tcPr>
          <w:p w:rsidR="002953A3" w:rsidRPr="002953A3" w:rsidRDefault="002953A3" w:rsidP="002953A3">
            <w:pPr>
              <w:textAlignment w:val="baseline"/>
              <w:rPr>
                <w:rFonts w:cs="Arial"/>
                <w:color w:val="365F91" w:themeColor="accent1" w:themeShade="BF"/>
                <w:szCs w:val="24"/>
                <w:lang w:eastAsia="en-GB"/>
              </w:rPr>
            </w:pPr>
            <w:proofErr w:type="spellStart"/>
            <w:r w:rsidRPr="002953A3">
              <w:rPr>
                <w:rFonts w:cs="Arial"/>
                <w:color w:val="365F91" w:themeColor="accent1" w:themeShade="BF"/>
                <w:szCs w:val="24"/>
                <w:lang w:eastAsia="en-GB"/>
              </w:rPr>
              <w:t>MALR</w:t>
            </w:r>
            <w:proofErr w:type="spellEnd"/>
          </w:p>
        </w:tc>
        <w:tc>
          <w:tcPr>
            <w:tcW w:w="3633" w:type="dxa"/>
            <w:hideMark/>
          </w:tcPr>
          <w:p w:rsidR="002953A3" w:rsidRPr="002953A3" w:rsidRDefault="002953A3" w:rsidP="002953A3">
            <w:pPr>
              <w:textAlignment w:val="baseline"/>
              <w:rPr>
                <w:rFonts w:cs="Arial"/>
                <w:color w:val="365F91" w:themeColor="accent1" w:themeShade="BF"/>
                <w:szCs w:val="24"/>
                <w:lang w:eastAsia="en-GB"/>
              </w:rPr>
            </w:pPr>
            <w:r w:rsidRPr="002953A3">
              <w:rPr>
                <w:rFonts w:cs="Arial"/>
                <w:color w:val="365F91" w:themeColor="accent1" w:themeShade="BF"/>
                <w:szCs w:val="24"/>
                <w:lang w:eastAsia="en-GB"/>
              </w:rPr>
              <w:t>Receipted up to £24.10 per night</w:t>
            </w:r>
          </w:p>
        </w:tc>
      </w:tr>
      <w:tr w:rsidR="002953A3" w:rsidRPr="002953A3" w:rsidTr="002953A3">
        <w:tc>
          <w:tcPr>
            <w:tcW w:w="4626" w:type="dxa"/>
            <w:hideMark/>
          </w:tcPr>
          <w:p w:rsidR="002953A3" w:rsidRPr="002953A3" w:rsidRDefault="002953A3" w:rsidP="002953A3">
            <w:pPr>
              <w:textAlignment w:val="baseline"/>
              <w:rPr>
                <w:rFonts w:cs="Arial"/>
                <w:color w:val="365F91" w:themeColor="accent1" w:themeShade="BF"/>
                <w:szCs w:val="24"/>
                <w:lang w:eastAsia="en-GB"/>
              </w:rPr>
            </w:pPr>
            <w:r w:rsidRPr="002953A3">
              <w:rPr>
                <w:rFonts w:cs="Arial"/>
                <w:color w:val="365F91" w:themeColor="accent1" w:themeShade="BF"/>
                <w:szCs w:val="24"/>
                <w:lang w:eastAsia="en-GB"/>
              </w:rPr>
              <w:t>Meals allowance elsewhere</w:t>
            </w:r>
          </w:p>
        </w:tc>
        <w:tc>
          <w:tcPr>
            <w:tcW w:w="757" w:type="dxa"/>
            <w:hideMark/>
          </w:tcPr>
          <w:p w:rsidR="002953A3" w:rsidRPr="002953A3" w:rsidRDefault="002953A3" w:rsidP="002953A3">
            <w:pPr>
              <w:textAlignment w:val="baseline"/>
              <w:rPr>
                <w:rFonts w:cs="Arial"/>
                <w:color w:val="365F91" w:themeColor="accent1" w:themeShade="BF"/>
                <w:szCs w:val="24"/>
                <w:lang w:eastAsia="en-GB"/>
              </w:rPr>
            </w:pPr>
            <w:proofErr w:type="spellStart"/>
            <w:r w:rsidRPr="002953A3">
              <w:rPr>
                <w:rFonts w:cs="Arial"/>
                <w:color w:val="365F91" w:themeColor="accent1" w:themeShade="BF"/>
                <w:szCs w:val="24"/>
                <w:lang w:eastAsia="en-GB"/>
              </w:rPr>
              <w:t>MAER</w:t>
            </w:r>
            <w:proofErr w:type="spellEnd"/>
          </w:p>
        </w:tc>
        <w:tc>
          <w:tcPr>
            <w:tcW w:w="3633" w:type="dxa"/>
            <w:hideMark/>
          </w:tcPr>
          <w:p w:rsidR="002953A3" w:rsidRPr="002953A3" w:rsidRDefault="002953A3" w:rsidP="002953A3">
            <w:pPr>
              <w:textAlignment w:val="baseline"/>
              <w:rPr>
                <w:rFonts w:cs="Arial"/>
                <w:color w:val="365F91" w:themeColor="accent1" w:themeShade="BF"/>
                <w:szCs w:val="24"/>
                <w:lang w:eastAsia="en-GB"/>
              </w:rPr>
            </w:pPr>
            <w:r w:rsidRPr="002953A3">
              <w:rPr>
                <w:rFonts w:cs="Arial"/>
                <w:color w:val="365F91" w:themeColor="accent1" w:themeShade="BF"/>
                <w:szCs w:val="24"/>
                <w:lang w:eastAsia="en-GB"/>
              </w:rPr>
              <w:t>Receipted up to £23.50 per night</w:t>
            </w:r>
          </w:p>
        </w:tc>
      </w:tr>
      <w:tr w:rsidR="002953A3" w:rsidRPr="002953A3" w:rsidTr="002953A3">
        <w:tc>
          <w:tcPr>
            <w:tcW w:w="4626" w:type="dxa"/>
            <w:hideMark/>
          </w:tcPr>
          <w:p w:rsidR="002953A3" w:rsidRPr="002953A3" w:rsidRDefault="002953A3" w:rsidP="002953A3">
            <w:pPr>
              <w:textAlignment w:val="baseline"/>
              <w:rPr>
                <w:rFonts w:cs="Arial"/>
                <w:color w:val="365F91" w:themeColor="accent1" w:themeShade="BF"/>
                <w:szCs w:val="24"/>
                <w:lang w:eastAsia="en-GB"/>
              </w:rPr>
            </w:pPr>
            <w:r w:rsidRPr="002953A3">
              <w:rPr>
                <w:rFonts w:cs="Arial"/>
                <w:color w:val="365F91" w:themeColor="accent1" w:themeShade="BF"/>
                <w:szCs w:val="24"/>
                <w:lang w:eastAsia="en-GB"/>
              </w:rPr>
              <w:t>Motor cycle allowance</w:t>
            </w:r>
          </w:p>
        </w:tc>
        <w:tc>
          <w:tcPr>
            <w:tcW w:w="757" w:type="dxa"/>
            <w:hideMark/>
          </w:tcPr>
          <w:p w:rsidR="002953A3" w:rsidRPr="002953A3" w:rsidRDefault="002953A3" w:rsidP="002953A3">
            <w:pPr>
              <w:textAlignment w:val="baseline"/>
              <w:rPr>
                <w:rFonts w:cs="Arial"/>
                <w:color w:val="365F91" w:themeColor="accent1" w:themeShade="BF"/>
                <w:szCs w:val="24"/>
                <w:lang w:eastAsia="en-GB"/>
              </w:rPr>
            </w:pPr>
            <w:proofErr w:type="spellStart"/>
            <w:r w:rsidRPr="002953A3">
              <w:rPr>
                <w:rFonts w:cs="Arial"/>
                <w:color w:val="365F91" w:themeColor="accent1" w:themeShade="BF"/>
                <w:szCs w:val="24"/>
                <w:lang w:eastAsia="en-GB"/>
              </w:rPr>
              <w:t>MCMR</w:t>
            </w:r>
            <w:proofErr w:type="spellEnd"/>
          </w:p>
        </w:tc>
        <w:tc>
          <w:tcPr>
            <w:tcW w:w="3633" w:type="dxa"/>
            <w:hideMark/>
          </w:tcPr>
          <w:p w:rsidR="002953A3" w:rsidRPr="002953A3" w:rsidRDefault="002953A3" w:rsidP="002953A3">
            <w:pPr>
              <w:textAlignment w:val="baseline"/>
              <w:rPr>
                <w:rFonts w:cs="Arial"/>
                <w:color w:val="365F91" w:themeColor="accent1" w:themeShade="BF"/>
                <w:szCs w:val="24"/>
                <w:lang w:eastAsia="en-GB"/>
              </w:rPr>
            </w:pPr>
            <w:r w:rsidRPr="002953A3">
              <w:rPr>
                <w:rFonts w:cs="Arial"/>
                <w:color w:val="365F91" w:themeColor="accent1" w:themeShade="BF"/>
                <w:szCs w:val="24"/>
                <w:lang w:eastAsia="en-GB"/>
              </w:rPr>
              <w:t>£0.24 per mile</w:t>
            </w:r>
          </w:p>
        </w:tc>
      </w:tr>
      <w:tr w:rsidR="002953A3" w:rsidRPr="002953A3" w:rsidTr="002953A3">
        <w:tc>
          <w:tcPr>
            <w:tcW w:w="4626" w:type="dxa"/>
            <w:hideMark/>
          </w:tcPr>
          <w:p w:rsidR="002953A3" w:rsidRPr="002953A3" w:rsidRDefault="002953A3" w:rsidP="002953A3">
            <w:pPr>
              <w:textAlignment w:val="baseline"/>
              <w:rPr>
                <w:rFonts w:cs="Arial"/>
                <w:color w:val="365F91" w:themeColor="accent1" w:themeShade="BF"/>
                <w:szCs w:val="24"/>
                <w:lang w:eastAsia="en-GB"/>
              </w:rPr>
            </w:pPr>
            <w:r w:rsidRPr="002953A3">
              <w:rPr>
                <w:rFonts w:cs="Arial"/>
                <w:color w:val="365F91" w:themeColor="accent1" w:themeShade="BF"/>
                <w:szCs w:val="24"/>
                <w:lang w:eastAsia="en-GB"/>
              </w:rPr>
              <w:t>Motor mileage rate</w:t>
            </w:r>
          </w:p>
        </w:tc>
        <w:tc>
          <w:tcPr>
            <w:tcW w:w="757" w:type="dxa"/>
            <w:hideMark/>
          </w:tcPr>
          <w:p w:rsidR="002953A3" w:rsidRPr="002953A3" w:rsidRDefault="002953A3" w:rsidP="002953A3">
            <w:pPr>
              <w:textAlignment w:val="baseline"/>
              <w:rPr>
                <w:rFonts w:cs="Arial"/>
                <w:color w:val="365F91" w:themeColor="accent1" w:themeShade="BF"/>
                <w:szCs w:val="24"/>
                <w:lang w:eastAsia="en-GB"/>
              </w:rPr>
            </w:pPr>
            <w:proofErr w:type="spellStart"/>
            <w:r w:rsidRPr="002953A3">
              <w:rPr>
                <w:rFonts w:cs="Arial"/>
                <w:color w:val="365F91" w:themeColor="accent1" w:themeShade="BF"/>
                <w:szCs w:val="24"/>
                <w:lang w:eastAsia="en-GB"/>
              </w:rPr>
              <w:t>MMRT</w:t>
            </w:r>
            <w:proofErr w:type="spellEnd"/>
          </w:p>
        </w:tc>
        <w:tc>
          <w:tcPr>
            <w:tcW w:w="3633" w:type="dxa"/>
            <w:hideMark/>
          </w:tcPr>
          <w:p w:rsidR="002953A3" w:rsidRPr="002953A3" w:rsidRDefault="002953A3" w:rsidP="002953A3">
            <w:pPr>
              <w:textAlignment w:val="baseline"/>
              <w:rPr>
                <w:rFonts w:cs="Arial"/>
                <w:color w:val="365F91" w:themeColor="accent1" w:themeShade="BF"/>
                <w:szCs w:val="24"/>
                <w:lang w:eastAsia="en-GB"/>
              </w:rPr>
            </w:pPr>
            <w:r w:rsidRPr="002953A3">
              <w:rPr>
                <w:rFonts w:cs="Arial"/>
                <w:color w:val="365F91" w:themeColor="accent1" w:themeShade="BF"/>
                <w:szCs w:val="24"/>
                <w:lang w:eastAsia="en-GB"/>
              </w:rPr>
              <w:t>£0.45 per mile</w:t>
            </w:r>
          </w:p>
        </w:tc>
      </w:tr>
    </w:tbl>
    <w:p w:rsidR="002953A3" w:rsidRDefault="002953A3">
      <w:r>
        <w:br w:type="page"/>
      </w:r>
    </w:p>
    <w:tbl>
      <w:tblPr>
        <w:tblW w:w="0" w:type="auto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6"/>
        <w:gridCol w:w="757"/>
        <w:gridCol w:w="3633"/>
      </w:tblGrid>
      <w:tr w:rsidR="002953A3" w:rsidRPr="002953A3" w:rsidTr="002953A3">
        <w:tc>
          <w:tcPr>
            <w:tcW w:w="4626" w:type="dxa"/>
            <w:hideMark/>
          </w:tcPr>
          <w:p w:rsidR="002953A3" w:rsidRPr="002953A3" w:rsidRDefault="002953A3" w:rsidP="002953A3">
            <w:pPr>
              <w:textAlignment w:val="baseline"/>
              <w:rPr>
                <w:rFonts w:cs="Arial"/>
                <w:color w:val="365F91" w:themeColor="accent1" w:themeShade="BF"/>
                <w:szCs w:val="24"/>
                <w:lang w:eastAsia="en-GB"/>
              </w:rPr>
            </w:pPr>
            <w:r w:rsidRPr="002953A3">
              <w:rPr>
                <w:rFonts w:cs="Arial"/>
                <w:color w:val="365F91" w:themeColor="accent1" w:themeShade="BF"/>
                <w:szCs w:val="24"/>
                <w:lang w:eastAsia="en-GB"/>
              </w:rPr>
              <w:lastRenderedPageBreak/>
              <w:t>Non-standard subsistence rates</w:t>
            </w:r>
          </w:p>
        </w:tc>
        <w:tc>
          <w:tcPr>
            <w:tcW w:w="757" w:type="dxa"/>
            <w:hideMark/>
          </w:tcPr>
          <w:p w:rsidR="002953A3" w:rsidRPr="002953A3" w:rsidRDefault="002953A3" w:rsidP="002953A3">
            <w:pPr>
              <w:textAlignment w:val="baseline"/>
              <w:rPr>
                <w:rFonts w:cs="Arial"/>
                <w:color w:val="365F91" w:themeColor="accent1" w:themeShade="BF"/>
                <w:szCs w:val="24"/>
                <w:lang w:eastAsia="en-GB"/>
              </w:rPr>
            </w:pPr>
            <w:r w:rsidRPr="002953A3">
              <w:rPr>
                <w:rFonts w:cs="Arial"/>
                <w:color w:val="365F91" w:themeColor="accent1" w:themeShade="BF"/>
                <w:szCs w:val="24"/>
                <w:lang w:eastAsia="en-GB"/>
              </w:rPr>
              <w:t>NSSR</w:t>
            </w:r>
          </w:p>
        </w:tc>
        <w:tc>
          <w:tcPr>
            <w:tcW w:w="3633" w:type="dxa"/>
            <w:hideMark/>
          </w:tcPr>
          <w:p w:rsidR="002953A3" w:rsidRPr="002953A3" w:rsidRDefault="002953A3" w:rsidP="002953A3">
            <w:pPr>
              <w:textAlignment w:val="baseline"/>
              <w:rPr>
                <w:rFonts w:cs="Arial"/>
                <w:color w:val="365F91" w:themeColor="accent1" w:themeShade="BF"/>
                <w:szCs w:val="24"/>
                <w:lang w:eastAsia="en-GB"/>
              </w:rPr>
            </w:pPr>
            <w:r w:rsidRPr="002953A3">
              <w:rPr>
                <w:rFonts w:cs="Arial"/>
                <w:color w:val="365F91" w:themeColor="accent1" w:themeShade="BF"/>
                <w:szCs w:val="24"/>
                <w:lang w:eastAsia="en-GB"/>
              </w:rPr>
              <w:t>Receipted, per night/day - contact the travel and subsistence team before using this</w:t>
            </w:r>
          </w:p>
        </w:tc>
      </w:tr>
      <w:tr w:rsidR="002953A3" w:rsidRPr="002953A3" w:rsidTr="002953A3">
        <w:tc>
          <w:tcPr>
            <w:tcW w:w="4626" w:type="dxa"/>
            <w:hideMark/>
          </w:tcPr>
          <w:p w:rsidR="002953A3" w:rsidRPr="002953A3" w:rsidRDefault="002953A3" w:rsidP="002953A3">
            <w:pPr>
              <w:textAlignment w:val="baseline"/>
              <w:rPr>
                <w:rFonts w:cs="Arial"/>
                <w:color w:val="365F91" w:themeColor="accent1" w:themeShade="BF"/>
                <w:szCs w:val="24"/>
                <w:lang w:eastAsia="en-GB"/>
              </w:rPr>
            </w:pPr>
            <w:r w:rsidRPr="002953A3">
              <w:rPr>
                <w:rFonts w:cs="Arial"/>
                <w:color w:val="365F91" w:themeColor="accent1" w:themeShade="BF"/>
                <w:szCs w:val="24"/>
                <w:lang w:eastAsia="en-GB"/>
              </w:rPr>
              <w:t>Overnight by train or boat</w:t>
            </w:r>
          </w:p>
        </w:tc>
        <w:tc>
          <w:tcPr>
            <w:tcW w:w="757" w:type="dxa"/>
            <w:hideMark/>
          </w:tcPr>
          <w:p w:rsidR="002953A3" w:rsidRPr="002953A3" w:rsidRDefault="002953A3" w:rsidP="002953A3">
            <w:pPr>
              <w:textAlignment w:val="baseline"/>
              <w:rPr>
                <w:rFonts w:cs="Arial"/>
                <w:color w:val="365F91" w:themeColor="accent1" w:themeShade="BF"/>
                <w:szCs w:val="24"/>
                <w:lang w:eastAsia="en-GB"/>
              </w:rPr>
            </w:pPr>
            <w:proofErr w:type="spellStart"/>
            <w:r w:rsidRPr="002953A3">
              <w:rPr>
                <w:rFonts w:cs="Arial"/>
                <w:color w:val="365F91" w:themeColor="accent1" w:themeShade="BF"/>
                <w:szCs w:val="24"/>
                <w:lang w:eastAsia="en-GB"/>
              </w:rPr>
              <w:t>NSTB</w:t>
            </w:r>
            <w:proofErr w:type="spellEnd"/>
          </w:p>
        </w:tc>
        <w:tc>
          <w:tcPr>
            <w:tcW w:w="3633" w:type="dxa"/>
            <w:hideMark/>
          </w:tcPr>
          <w:p w:rsidR="002953A3" w:rsidRPr="002953A3" w:rsidRDefault="002953A3" w:rsidP="002953A3">
            <w:pPr>
              <w:textAlignment w:val="baseline"/>
              <w:rPr>
                <w:rFonts w:cs="Arial"/>
                <w:color w:val="365F91" w:themeColor="accent1" w:themeShade="BF"/>
                <w:szCs w:val="24"/>
                <w:lang w:eastAsia="en-GB"/>
              </w:rPr>
            </w:pPr>
            <w:r w:rsidRPr="002953A3">
              <w:rPr>
                <w:rFonts w:cs="Arial"/>
                <w:color w:val="365F91" w:themeColor="accent1" w:themeShade="BF"/>
                <w:szCs w:val="24"/>
                <w:lang w:eastAsia="en-GB"/>
              </w:rPr>
              <w:t>Receipted up to £24.10 per night</w:t>
            </w:r>
          </w:p>
        </w:tc>
      </w:tr>
      <w:tr w:rsidR="002953A3" w:rsidRPr="002953A3" w:rsidTr="002953A3">
        <w:tc>
          <w:tcPr>
            <w:tcW w:w="4626" w:type="dxa"/>
            <w:hideMark/>
          </w:tcPr>
          <w:p w:rsidR="002953A3" w:rsidRPr="002953A3" w:rsidRDefault="002953A3" w:rsidP="002953A3">
            <w:pPr>
              <w:textAlignment w:val="baseline"/>
              <w:rPr>
                <w:rFonts w:cs="Arial"/>
                <w:color w:val="365F91" w:themeColor="accent1" w:themeShade="BF"/>
                <w:szCs w:val="24"/>
                <w:lang w:eastAsia="en-GB"/>
              </w:rPr>
            </w:pPr>
            <w:r w:rsidRPr="002953A3">
              <w:rPr>
                <w:rFonts w:cs="Arial"/>
                <w:color w:val="365F91" w:themeColor="accent1" w:themeShade="BF"/>
                <w:szCs w:val="24"/>
                <w:lang w:eastAsia="en-GB"/>
              </w:rPr>
              <w:t>Passenger supplement</w:t>
            </w:r>
          </w:p>
        </w:tc>
        <w:tc>
          <w:tcPr>
            <w:tcW w:w="757" w:type="dxa"/>
            <w:hideMark/>
          </w:tcPr>
          <w:p w:rsidR="002953A3" w:rsidRPr="002953A3" w:rsidRDefault="002953A3" w:rsidP="002953A3">
            <w:pPr>
              <w:textAlignment w:val="baseline"/>
              <w:rPr>
                <w:rFonts w:cs="Arial"/>
                <w:color w:val="365F91" w:themeColor="accent1" w:themeShade="BF"/>
                <w:szCs w:val="24"/>
                <w:lang w:eastAsia="en-GB"/>
              </w:rPr>
            </w:pPr>
            <w:proofErr w:type="spellStart"/>
            <w:r w:rsidRPr="002953A3">
              <w:rPr>
                <w:rFonts w:cs="Arial"/>
                <w:color w:val="365F91" w:themeColor="accent1" w:themeShade="BF"/>
                <w:szCs w:val="24"/>
                <w:lang w:eastAsia="en-GB"/>
              </w:rPr>
              <w:t>FPMR</w:t>
            </w:r>
            <w:proofErr w:type="spellEnd"/>
          </w:p>
        </w:tc>
        <w:tc>
          <w:tcPr>
            <w:tcW w:w="3633" w:type="dxa"/>
            <w:hideMark/>
          </w:tcPr>
          <w:p w:rsidR="002953A3" w:rsidRPr="002953A3" w:rsidRDefault="002953A3" w:rsidP="002953A3">
            <w:pPr>
              <w:textAlignment w:val="baseline"/>
              <w:rPr>
                <w:rFonts w:cs="Arial"/>
                <w:color w:val="365F91" w:themeColor="accent1" w:themeShade="BF"/>
                <w:szCs w:val="24"/>
                <w:lang w:eastAsia="en-GB"/>
              </w:rPr>
            </w:pPr>
            <w:r w:rsidRPr="002953A3">
              <w:rPr>
                <w:rFonts w:cs="Arial"/>
                <w:color w:val="365F91" w:themeColor="accent1" w:themeShade="BF"/>
                <w:szCs w:val="24"/>
                <w:lang w:eastAsia="en-GB"/>
              </w:rPr>
              <w:t>£0.05 per mile</w:t>
            </w:r>
          </w:p>
        </w:tc>
      </w:tr>
      <w:tr w:rsidR="002953A3" w:rsidRPr="002953A3" w:rsidTr="002953A3">
        <w:tc>
          <w:tcPr>
            <w:tcW w:w="4626" w:type="dxa"/>
            <w:hideMark/>
          </w:tcPr>
          <w:p w:rsidR="002953A3" w:rsidRPr="002953A3" w:rsidRDefault="002953A3" w:rsidP="002953A3">
            <w:pPr>
              <w:textAlignment w:val="baseline"/>
              <w:rPr>
                <w:rFonts w:cs="Arial"/>
                <w:color w:val="365F91" w:themeColor="accent1" w:themeShade="BF"/>
                <w:szCs w:val="24"/>
                <w:lang w:eastAsia="en-GB"/>
              </w:rPr>
            </w:pPr>
            <w:r w:rsidRPr="002953A3">
              <w:rPr>
                <w:rFonts w:cs="Arial"/>
                <w:color w:val="365F91" w:themeColor="accent1" w:themeShade="BF"/>
                <w:szCs w:val="24"/>
                <w:lang w:eastAsia="en-GB"/>
              </w:rPr>
              <w:t>Pedal cycle allowance</w:t>
            </w:r>
          </w:p>
        </w:tc>
        <w:tc>
          <w:tcPr>
            <w:tcW w:w="757" w:type="dxa"/>
            <w:hideMark/>
          </w:tcPr>
          <w:p w:rsidR="002953A3" w:rsidRPr="002953A3" w:rsidRDefault="002953A3" w:rsidP="002953A3">
            <w:pPr>
              <w:textAlignment w:val="baseline"/>
              <w:rPr>
                <w:rFonts w:cs="Arial"/>
                <w:color w:val="365F91" w:themeColor="accent1" w:themeShade="BF"/>
                <w:szCs w:val="24"/>
                <w:lang w:eastAsia="en-GB"/>
              </w:rPr>
            </w:pPr>
            <w:proofErr w:type="spellStart"/>
            <w:r w:rsidRPr="002953A3">
              <w:rPr>
                <w:rFonts w:cs="Arial"/>
                <w:color w:val="365F91" w:themeColor="accent1" w:themeShade="BF"/>
                <w:szCs w:val="24"/>
                <w:lang w:eastAsia="en-GB"/>
              </w:rPr>
              <w:t>PCMR</w:t>
            </w:r>
            <w:proofErr w:type="spellEnd"/>
          </w:p>
        </w:tc>
        <w:tc>
          <w:tcPr>
            <w:tcW w:w="3633" w:type="dxa"/>
            <w:hideMark/>
          </w:tcPr>
          <w:p w:rsidR="002953A3" w:rsidRPr="002953A3" w:rsidRDefault="002953A3" w:rsidP="002953A3">
            <w:pPr>
              <w:textAlignment w:val="baseline"/>
              <w:rPr>
                <w:rFonts w:cs="Arial"/>
                <w:color w:val="365F91" w:themeColor="accent1" w:themeShade="BF"/>
                <w:szCs w:val="24"/>
                <w:lang w:eastAsia="en-GB"/>
              </w:rPr>
            </w:pPr>
            <w:r w:rsidRPr="002953A3">
              <w:rPr>
                <w:rFonts w:cs="Arial"/>
                <w:color w:val="365F91" w:themeColor="accent1" w:themeShade="BF"/>
                <w:szCs w:val="24"/>
                <w:lang w:eastAsia="en-GB"/>
              </w:rPr>
              <w:t>£0.20 per mile</w:t>
            </w:r>
          </w:p>
        </w:tc>
      </w:tr>
      <w:tr w:rsidR="002953A3" w:rsidRPr="002953A3" w:rsidTr="002953A3">
        <w:tc>
          <w:tcPr>
            <w:tcW w:w="4626" w:type="dxa"/>
            <w:hideMark/>
          </w:tcPr>
          <w:p w:rsidR="002953A3" w:rsidRPr="002953A3" w:rsidRDefault="002953A3" w:rsidP="002953A3">
            <w:pPr>
              <w:textAlignment w:val="baseline"/>
              <w:rPr>
                <w:rFonts w:cs="Arial"/>
                <w:color w:val="365F91" w:themeColor="accent1" w:themeShade="BF"/>
                <w:szCs w:val="24"/>
                <w:lang w:eastAsia="en-GB"/>
              </w:rPr>
            </w:pPr>
            <w:r w:rsidRPr="002953A3">
              <w:rPr>
                <w:rFonts w:cs="Arial"/>
                <w:color w:val="365F91" w:themeColor="accent1" w:themeShade="BF"/>
                <w:szCs w:val="24"/>
                <w:lang w:eastAsia="en-GB"/>
              </w:rPr>
              <w:t>Personal incidental expenses</w:t>
            </w:r>
          </w:p>
        </w:tc>
        <w:tc>
          <w:tcPr>
            <w:tcW w:w="757" w:type="dxa"/>
            <w:hideMark/>
          </w:tcPr>
          <w:p w:rsidR="002953A3" w:rsidRPr="002953A3" w:rsidRDefault="002953A3" w:rsidP="002953A3">
            <w:pPr>
              <w:textAlignment w:val="baseline"/>
              <w:rPr>
                <w:rFonts w:cs="Arial"/>
                <w:color w:val="365F91" w:themeColor="accent1" w:themeShade="BF"/>
                <w:szCs w:val="24"/>
                <w:lang w:eastAsia="en-GB"/>
              </w:rPr>
            </w:pPr>
            <w:proofErr w:type="spellStart"/>
            <w:r w:rsidRPr="002953A3">
              <w:rPr>
                <w:rFonts w:cs="Arial"/>
                <w:color w:val="365F91" w:themeColor="accent1" w:themeShade="BF"/>
                <w:szCs w:val="24"/>
                <w:lang w:eastAsia="en-GB"/>
              </w:rPr>
              <w:t>PIEA</w:t>
            </w:r>
            <w:proofErr w:type="spellEnd"/>
          </w:p>
        </w:tc>
        <w:tc>
          <w:tcPr>
            <w:tcW w:w="3633" w:type="dxa"/>
            <w:hideMark/>
          </w:tcPr>
          <w:p w:rsidR="002953A3" w:rsidRPr="002953A3" w:rsidRDefault="002953A3" w:rsidP="002953A3">
            <w:pPr>
              <w:textAlignment w:val="baseline"/>
              <w:rPr>
                <w:rFonts w:cs="Arial"/>
                <w:color w:val="365F91" w:themeColor="accent1" w:themeShade="BF"/>
                <w:szCs w:val="24"/>
                <w:lang w:eastAsia="en-GB"/>
              </w:rPr>
            </w:pPr>
            <w:r w:rsidRPr="002953A3">
              <w:rPr>
                <w:rFonts w:cs="Arial"/>
                <w:color w:val="365F91" w:themeColor="accent1" w:themeShade="BF"/>
                <w:szCs w:val="24"/>
                <w:lang w:eastAsia="en-GB"/>
              </w:rPr>
              <w:t>Receipted up to £5 per night</w:t>
            </w:r>
          </w:p>
        </w:tc>
      </w:tr>
      <w:tr w:rsidR="002953A3" w:rsidRPr="002953A3" w:rsidTr="002953A3">
        <w:tc>
          <w:tcPr>
            <w:tcW w:w="4626" w:type="dxa"/>
            <w:hideMark/>
          </w:tcPr>
          <w:p w:rsidR="002953A3" w:rsidRPr="002953A3" w:rsidRDefault="002953A3" w:rsidP="002953A3">
            <w:pPr>
              <w:textAlignment w:val="baseline"/>
              <w:rPr>
                <w:rFonts w:cs="Arial"/>
                <w:color w:val="365F91" w:themeColor="accent1" w:themeShade="BF"/>
                <w:szCs w:val="24"/>
                <w:lang w:eastAsia="en-GB"/>
              </w:rPr>
            </w:pPr>
            <w:r w:rsidRPr="002953A3">
              <w:rPr>
                <w:rFonts w:cs="Arial"/>
                <w:color w:val="365F91" w:themeColor="accent1" w:themeShade="BF"/>
                <w:szCs w:val="24"/>
                <w:lang w:eastAsia="en-GB"/>
              </w:rPr>
              <w:t>Public transport air travel</w:t>
            </w:r>
          </w:p>
        </w:tc>
        <w:tc>
          <w:tcPr>
            <w:tcW w:w="757" w:type="dxa"/>
            <w:hideMark/>
          </w:tcPr>
          <w:p w:rsidR="002953A3" w:rsidRPr="002953A3" w:rsidRDefault="002953A3" w:rsidP="002953A3">
            <w:pPr>
              <w:textAlignment w:val="baseline"/>
              <w:rPr>
                <w:rFonts w:cs="Arial"/>
                <w:color w:val="365F91" w:themeColor="accent1" w:themeShade="BF"/>
                <w:szCs w:val="24"/>
                <w:lang w:eastAsia="en-GB"/>
              </w:rPr>
            </w:pPr>
            <w:proofErr w:type="spellStart"/>
            <w:r w:rsidRPr="002953A3">
              <w:rPr>
                <w:rFonts w:cs="Arial"/>
                <w:color w:val="365F91" w:themeColor="accent1" w:themeShade="BF"/>
                <w:szCs w:val="24"/>
                <w:lang w:eastAsia="en-GB"/>
              </w:rPr>
              <w:t>TRAT</w:t>
            </w:r>
            <w:proofErr w:type="spellEnd"/>
          </w:p>
        </w:tc>
        <w:tc>
          <w:tcPr>
            <w:tcW w:w="3633" w:type="dxa"/>
            <w:hideMark/>
          </w:tcPr>
          <w:p w:rsidR="002953A3" w:rsidRPr="002953A3" w:rsidRDefault="002953A3" w:rsidP="002953A3">
            <w:pPr>
              <w:textAlignment w:val="baseline"/>
              <w:rPr>
                <w:rFonts w:cs="Arial"/>
                <w:color w:val="365F91" w:themeColor="accent1" w:themeShade="BF"/>
                <w:szCs w:val="24"/>
                <w:lang w:eastAsia="en-GB"/>
              </w:rPr>
            </w:pPr>
            <w:r w:rsidRPr="002953A3">
              <w:rPr>
                <w:rFonts w:cs="Arial"/>
                <w:color w:val="365F91" w:themeColor="accent1" w:themeShade="BF"/>
                <w:szCs w:val="24"/>
                <w:lang w:eastAsia="en-GB"/>
              </w:rPr>
              <w:t>Receipted, no maximum</w:t>
            </w:r>
          </w:p>
        </w:tc>
      </w:tr>
      <w:tr w:rsidR="002953A3" w:rsidRPr="002953A3" w:rsidTr="002953A3">
        <w:tc>
          <w:tcPr>
            <w:tcW w:w="4626" w:type="dxa"/>
            <w:hideMark/>
          </w:tcPr>
          <w:p w:rsidR="002953A3" w:rsidRPr="002953A3" w:rsidRDefault="002953A3" w:rsidP="002953A3">
            <w:pPr>
              <w:textAlignment w:val="baseline"/>
              <w:rPr>
                <w:rFonts w:cs="Arial"/>
                <w:color w:val="365F91" w:themeColor="accent1" w:themeShade="BF"/>
                <w:szCs w:val="24"/>
                <w:lang w:eastAsia="en-GB"/>
              </w:rPr>
            </w:pPr>
            <w:r w:rsidRPr="002953A3">
              <w:rPr>
                <w:rFonts w:cs="Arial"/>
                <w:color w:val="365F91" w:themeColor="accent1" w:themeShade="BF"/>
                <w:szCs w:val="24"/>
                <w:lang w:eastAsia="en-GB"/>
              </w:rPr>
              <w:t>Public transport bus</w:t>
            </w:r>
          </w:p>
        </w:tc>
        <w:tc>
          <w:tcPr>
            <w:tcW w:w="757" w:type="dxa"/>
            <w:hideMark/>
          </w:tcPr>
          <w:p w:rsidR="002953A3" w:rsidRPr="002953A3" w:rsidRDefault="002953A3" w:rsidP="002953A3">
            <w:pPr>
              <w:textAlignment w:val="baseline"/>
              <w:rPr>
                <w:rFonts w:cs="Arial"/>
                <w:color w:val="365F91" w:themeColor="accent1" w:themeShade="BF"/>
                <w:szCs w:val="24"/>
                <w:lang w:eastAsia="en-GB"/>
              </w:rPr>
            </w:pPr>
            <w:proofErr w:type="spellStart"/>
            <w:r w:rsidRPr="002953A3">
              <w:rPr>
                <w:rFonts w:cs="Arial"/>
                <w:color w:val="365F91" w:themeColor="accent1" w:themeShade="BF"/>
                <w:szCs w:val="24"/>
                <w:lang w:eastAsia="en-GB"/>
              </w:rPr>
              <w:t>TRBU</w:t>
            </w:r>
            <w:proofErr w:type="spellEnd"/>
          </w:p>
        </w:tc>
        <w:tc>
          <w:tcPr>
            <w:tcW w:w="3633" w:type="dxa"/>
            <w:hideMark/>
          </w:tcPr>
          <w:p w:rsidR="002953A3" w:rsidRPr="002953A3" w:rsidRDefault="002953A3" w:rsidP="002953A3">
            <w:pPr>
              <w:textAlignment w:val="baseline"/>
              <w:rPr>
                <w:rFonts w:cs="Arial"/>
                <w:color w:val="365F91" w:themeColor="accent1" w:themeShade="BF"/>
                <w:szCs w:val="24"/>
                <w:lang w:eastAsia="en-GB"/>
              </w:rPr>
            </w:pPr>
            <w:r w:rsidRPr="002953A3">
              <w:rPr>
                <w:rFonts w:cs="Arial"/>
                <w:color w:val="365F91" w:themeColor="accent1" w:themeShade="BF"/>
                <w:szCs w:val="24"/>
                <w:lang w:eastAsia="en-GB"/>
              </w:rPr>
              <w:t>Receipted, no maximum</w:t>
            </w:r>
          </w:p>
        </w:tc>
      </w:tr>
      <w:tr w:rsidR="002953A3" w:rsidRPr="002953A3" w:rsidTr="002953A3">
        <w:tc>
          <w:tcPr>
            <w:tcW w:w="4626" w:type="dxa"/>
            <w:hideMark/>
          </w:tcPr>
          <w:p w:rsidR="002953A3" w:rsidRPr="002953A3" w:rsidRDefault="002953A3" w:rsidP="002953A3">
            <w:pPr>
              <w:textAlignment w:val="baseline"/>
              <w:rPr>
                <w:rFonts w:cs="Arial"/>
                <w:color w:val="365F91" w:themeColor="accent1" w:themeShade="BF"/>
                <w:szCs w:val="24"/>
                <w:lang w:eastAsia="en-GB"/>
              </w:rPr>
            </w:pPr>
            <w:r w:rsidRPr="002953A3">
              <w:rPr>
                <w:rFonts w:cs="Arial"/>
                <w:color w:val="365F91" w:themeColor="accent1" w:themeShade="BF"/>
                <w:szCs w:val="24"/>
                <w:lang w:eastAsia="en-GB"/>
              </w:rPr>
              <w:t>Public transport ferry</w:t>
            </w:r>
          </w:p>
        </w:tc>
        <w:tc>
          <w:tcPr>
            <w:tcW w:w="757" w:type="dxa"/>
            <w:hideMark/>
          </w:tcPr>
          <w:p w:rsidR="002953A3" w:rsidRPr="002953A3" w:rsidRDefault="002953A3" w:rsidP="002953A3">
            <w:pPr>
              <w:textAlignment w:val="baseline"/>
              <w:rPr>
                <w:rFonts w:cs="Arial"/>
                <w:color w:val="365F91" w:themeColor="accent1" w:themeShade="BF"/>
                <w:szCs w:val="24"/>
                <w:lang w:eastAsia="en-GB"/>
              </w:rPr>
            </w:pPr>
            <w:proofErr w:type="spellStart"/>
            <w:r w:rsidRPr="002953A3">
              <w:rPr>
                <w:rFonts w:cs="Arial"/>
                <w:color w:val="365F91" w:themeColor="accent1" w:themeShade="BF"/>
                <w:szCs w:val="24"/>
                <w:lang w:eastAsia="en-GB"/>
              </w:rPr>
              <w:t>TRFE</w:t>
            </w:r>
            <w:proofErr w:type="spellEnd"/>
          </w:p>
        </w:tc>
        <w:tc>
          <w:tcPr>
            <w:tcW w:w="3633" w:type="dxa"/>
            <w:hideMark/>
          </w:tcPr>
          <w:p w:rsidR="002953A3" w:rsidRPr="002953A3" w:rsidRDefault="002953A3" w:rsidP="002953A3">
            <w:pPr>
              <w:textAlignment w:val="baseline"/>
              <w:rPr>
                <w:rFonts w:cs="Arial"/>
                <w:color w:val="365F91" w:themeColor="accent1" w:themeShade="BF"/>
                <w:szCs w:val="24"/>
                <w:lang w:eastAsia="en-GB"/>
              </w:rPr>
            </w:pPr>
            <w:r w:rsidRPr="002953A3">
              <w:rPr>
                <w:rFonts w:cs="Arial"/>
                <w:color w:val="365F91" w:themeColor="accent1" w:themeShade="BF"/>
                <w:szCs w:val="24"/>
                <w:lang w:eastAsia="en-GB"/>
              </w:rPr>
              <w:t>Receipted, no maximum</w:t>
            </w:r>
          </w:p>
        </w:tc>
      </w:tr>
      <w:tr w:rsidR="002953A3" w:rsidRPr="002953A3" w:rsidTr="002953A3">
        <w:tc>
          <w:tcPr>
            <w:tcW w:w="4626" w:type="dxa"/>
            <w:hideMark/>
          </w:tcPr>
          <w:p w:rsidR="002953A3" w:rsidRPr="002953A3" w:rsidRDefault="002953A3" w:rsidP="002953A3">
            <w:pPr>
              <w:textAlignment w:val="baseline"/>
              <w:rPr>
                <w:rFonts w:cs="Arial"/>
                <w:color w:val="365F91" w:themeColor="accent1" w:themeShade="BF"/>
                <w:szCs w:val="24"/>
                <w:lang w:eastAsia="en-GB"/>
              </w:rPr>
            </w:pPr>
            <w:r w:rsidRPr="002953A3">
              <w:rPr>
                <w:rFonts w:cs="Arial"/>
                <w:color w:val="365F91" w:themeColor="accent1" w:themeShade="BF"/>
                <w:szCs w:val="24"/>
                <w:lang w:eastAsia="en-GB"/>
              </w:rPr>
              <w:t>Public transport rail (first class)</w:t>
            </w:r>
          </w:p>
        </w:tc>
        <w:tc>
          <w:tcPr>
            <w:tcW w:w="757" w:type="dxa"/>
            <w:hideMark/>
          </w:tcPr>
          <w:p w:rsidR="002953A3" w:rsidRPr="002953A3" w:rsidRDefault="002953A3" w:rsidP="002953A3">
            <w:pPr>
              <w:textAlignment w:val="baseline"/>
              <w:rPr>
                <w:rFonts w:cs="Arial"/>
                <w:color w:val="365F91" w:themeColor="accent1" w:themeShade="BF"/>
                <w:szCs w:val="24"/>
                <w:lang w:eastAsia="en-GB"/>
              </w:rPr>
            </w:pPr>
            <w:proofErr w:type="spellStart"/>
            <w:r w:rsidRPr="002953A3">
              <w:rPr>
                <w:rFonts w:cs="Arial"/>
                <w:color w:val="365F91" w:themeColor="accent1" w:themeShade="BF"/>
                <w:szCs w:val="24"/>
                <w:lang w:eastAsia="en-GB"/>
              </w:rPr>
              <w:t>TRRF</w:t>
            </w:r>
            <w:proofErr w:type="spellEnd"/>
          </w:p>
        </w:tc>
        <w:tc>
          <w:tcPr>
            <w:tcW w:w="3633" w:type="dxa"/>
            <w:hideMark/>
          </w:tcPr>
          <w:p w:rsidR="002953A3" w:rsidRPr="002953A3" w:rsidRDefault="002953A3" w:rsidP="002953A3">
            <w:pPr>
              <w:textAlignment w:val="baseline"/>
              <w:rPr>
                <w:rFonts w:cs="Arial"/>
                <w:color w:val="365F91" w:themeColor="accent1" w:themeShade="BF"/>
                <w:szCs w:val="24"/>
                <w:lang w:eastAsia="en-GB"/>
              </w:rPr>
            </w:pPr>
            <w:r w:rsidRPr="002953A3">
              <w:rPr>
                <w:rFonts w:cs="Arial"/>
                <w:color w:val="365F91" w:themeColor="accent1" w:themeShade="BF"/>
                <w:szCs w:val="24"/>
                <w:lang w:eastAsia="en-GB"/>
              </w:rPr>
              <w:t>Receipted, no maximum</w:t>
            </w:r>
          </w:p>
        </w:tc>
      </w:tr>
      <w:tr w:rsidR="002953A3" w:rsidRPr="002953A3" w:rsidTr="002953A3">
        <w:tc>
          <w:tcPr>
            <w:tcW w:w="4626" w:type="dxa"/>
            <w:hideMark/>
          </w:tcPr>
          <w:p w:rsidR="002953A3" w:rsidRPr="002953A3" w:rsidRDefault="002953A3" w:rsidP="002953A3">
            <w:pPr>
              <w:textAlignment w:val="baseline"/>
              <w:rPr>
                <w:rFonts w:cs="Arial"/>
                <w:color w:val="365F91" w:themeColor="accent1" w:themeShade="BF"/>
                <w:szCs w:val="24"/>
                <w:lang w:eastAsia="en-GB"/>
              </w:rPr>
            </w:pPr>
            <w:r w:rsidRPr="002953A3">
              <w:rPr>
                <w:rFonts w:cs="Arial"/>
                <w:color w:val="365F91" w:themeColor="accent1" w:themeShade="BF"/>
                <w:szCs w:val="24"/>
                <w:lang w:eastAsia="en-GB"/>
              </w:rPr>
              <w:t>Public transport rail (standard)</w:t>
            </w:r>
          </w:p>
        </w:tc>
        <w:tc>
          <w:tcPr>
            <w:tcW w:w="757" w:type="dxa"/>
            <w:hideMark/>
          </w:tcPr>
          <w:p w:rsidR="002953A3" w:rsidRPr="002953A3" w:rsidRDefault="002953A3" w:rsidP="002953A3">
            <w:pPr>
              <w:textAlignment w:val="baseline"/>
              <w:rPr>
                <w:rFonts w:cs="Arial"/>
                <w:color w:val="365F91" w:themeColor="accent1" w:themeShade="BF"/>
                <w:szCs w:val="24"/>
                <w:lang w:eastAsia="en-GB"/>
              </w:rPr>
            </w:pPr>
            <w:proofErr w:type="spellStart"/>
            <w:r w:rsidRPr="002953A3">
              <w:rPr>
                <w:rFonts w:cs="Arial"/>
                <w:color w:val="365F91" w:themeColor="accent1" w:themeShade="BF"/>
                <w:szCs w:val="24"/>
                <w:lang w:eastAsia="en-GB"/>
              </w:rPr>
              <w:t>TRRS</w:t>
            </w:r>
            <w:proofErr w:type="spellEnd"/>
          </w:p>
        </w:tc>
        <w:tc>
          <w:tcPr>
            <w:tcW w:w="3633" w:type="dxa"/>
            <w:hideMark/>
          </w:tcPr>
          <w:p w:rsidR="002953A3" w:rsidRPr="002953A3" w:rsidRDefault="002953A3" w:rsidP="002953A3">
            <w:pPr>
              <w:textAlignment w:val="baseline"/>
              <w:rPr>
                <w:rFonts w:cs="Arial"/>
                <w:color w:val="365F91" w:themeColor="accent1" w:themeShade="BF"/>
                <w:szCs w:val="24"/>
                <w:lang w:eastAsia="en-GB"/>
              </w:rPr>
            </w:pPr>
            <w:r w:rsidRPr="002953A3">
              <w:rPr>
                <w:rFonts w:cs="Arial"/>
                <w:color w:val="365F91" w:themeColor="accent1" w:themeShade="BF"/>
                <w:szCs w:val="24"/>
                <w:lang w:eastAsia="en-GB"/>
              </w:rPr>
              <w:t>Receipted, no maximum</w:t>
            </w:r>
          </w:p>
        </w:tc>
      </w:tr>
      <w:tr w:rsidR="002953A3" w:rsidRPr="002953A3" w:rsidTr="002953A3">
        <w:tc>
          <w:tcPr>
            <w:tcW w:w="4626" w:type="dxa"/>
            <w:hideMark/>
          </w:tcPr>
          <w:p w:rsidR="002953A3" w:rsidRPr="002953A3" w:rsidRDefault="002953A3" w:rsidP="002953A3">
            <w:pPr>
              <w:textAlignment w:val="baseline"/>
              <w:rPr>
                <w:rFonts w:cs="Arial"/>
                <w:color w:val="365F91" w:themeColor="accent1" w:themeShade="BF"/>
                <w:szCs w:val="24"/>
                <w:lang w:eastAsia="en-GB"/>
              </w:rPr>
            </w:pPr>
            <w:r w:rsidRPr="002953A3">
              <w:rPr>
                <w:rFonts w:cs="Arial"/>
                <w:color w:val="365F91" w:themeColor="accent1" w:themeShade="BF"/>
                <w:szCs w:val="24"/>
                <w:lang w:eastAsia="en-GB"/>
              </w:rPr>
              <w:t>Public transport taxi</w:t>
            </w:r>
          </w:p>
        </w:tc>
        <w:tc>
          <w:tcPr>
            <w:tcW w:w="757" w:type="dxa"/>
            <w:hideMark/>
          </w:tcPr>
          <w:p w:rsidR="002953A3" w:rsidRPr="002953A3" w:rsidRDefault="002953A3" w:rsidP="002953A3">
            <w:pPr>
              <w:textAlignment w:val="baseline"/>
              <w:rPr>
                <w:rFonts w:cs="Arial"/>
                <w:color w:val="365F91" w:themeColor="accent1" w:themeShade="BF"/>
                <w:szCs w:val="24"/>
                <w:lang w:eastAsia="en-GB"/>
              </w:rPr>
            </w:pPr>
            <w:proofErr w:type="spellStart"/>
            <w:r w:rsidRPr="002953A3">
              <w:rPr>
                <w:rFonts w:cs="Arial"/>
                <w:color w:val="365F91" w:themeColor="accent1" w:themeShade="BF"/>
                <w:szCs w:val="24"/>
                <w:lang w:eastAsia="en-GB"/>
              </w:rPr>
              <w:t>TRTX</w:t>
            </w:r>
            <w:proofErr w:type="spellEnd"/>
          </w:p>
        </w:tc>
        <w:tc>
          <w:tcPr>
            <w:tcW w:w="3633" w:type="dxa"/>
            <w:hideMark/>
          </w:tcPr>
          <w:p w:rsidR="002953A3" w:rsidRPr="002953A3" w:rsidRDefault="002953A3" w:rsidP="002953A3">
            <w:pPr>
              <w:textAlignment w:val="baseline"/>
              <w:rPr>
                <w:rFonts w:cs="Arial"/>
                <w:color w:val="365F91" w:themeColor="accent1" w:themeShade="BF"/>
                <w:szCs w:val="24"/>
                <w:lang w:eastAsia="en-GB"/>
              </w:rPr>
            </w:pPr>
            <w:r w:rsidRPr="002953A3">
              <w:rPr>
                <w:rFonts w:cs="Arial"/>
                <w:color w:val="365F91" w:themeColor="accent1" w:themeShade="BF"/>
                <w:szCs w:val="24"/>
                <w:lang w:eastAsia="en-GB"/>
              </w:rPr>
              <w:t>Receipted, no maximum</w:t>
            </w:r>
          </w:p>
        </w:tc>
      </w:tr>
      <w:tr w:rsidR="002953A3" w:rsidRPr="002953A3" w:rsidTr="002953A3">
        <w:tc>
          <w:tcPr>
            <w:tcW w:w="4626" w:type="dxa"/>
            <w:hideMark/>
          </w:tcPr>
          <w:p w:rsidR="002953A3" w:rsidRPr="002953A3" w:rsidRDefault="002953A3" w:rsidP="002953A3">
            <w:pPr>
              <w:textAlignment w:val="baseline"/>
              <w:rPr>
                <w:rFonts w:cs="Arial"/>
                <w:color w:val="365F91" w:themeColor="accent1" w:themeShade="BF"/>
                <w:szCs w:val="24"/>
                <w:lang w:eastAsia="en-GB"/>
              </w:rPr>
            </w:pPr>
            <w:r w:rsidRPr="002953A3">
              <w:rPr>
                <w:rFonts w:cs="Arial"/>
                <w:color w:val="365F91" w:themeColor="accent1" w:themeShade="BF"/>
                <w:szCs w:val="24"/>
                <w:lang w:eastAsia="en-GB"/>
              </w:rPr>
              <w:t>Public transport Tube</w:t>
            </w:r>
          </w:p>
        </w:tc>
        <w:tc>
          <w:tcPr>
            <w:tcW w:w="757" w:type="dxa"/>
            <w:hideMark/>
          </w:tcPr>
          <w:p w:rsidR="002953A3" w:rsidRPr="002953A3" w:rsidRDefault="002953A3" w:rsidP="002953A3">
            <w:pPr>
              <w:textAlignment w:val="baseline"/>
              <w:rPr>
                <w:rFonts w:cs="Arial"/>
                <w:color w:val="365F91" w:themeColor="accent1" w:themeShade="BF"/>
                <w:szCs w:val="24"/>
                <w:lang w:eastAsia="en-GB"/>
              </w:rPr>
            </w:pPr>
            <w:proofErr w:type="spellStart"/>
            <w:r w:rsidRPr="002953A3">
              <w:rPr>
                <w:rFonts w:cs="Arial"/>
                <w:color w:val="365F91" w:themeColor="accent1" w:themeShade="BF"/>
                <w:szCs w:val="24"/>
                <w:lang w:eastAsia="en-GB"/>
              </w:rPr>
              <w:t>TRTU</w:t>
            </w:r>
            <w:proofErr w:type="spellEnd"/>
          </w:p>
        </w:tc>
        <w:tc>
          <w:tcPr>
            <w:tcW w:w="3633" w:type="dxa"/>
            <w:hideMark/>
          </w:tcPr>
          <w:p w:rsidR="002953A3" w:rsidRPr="002953A3" w:rsidRDefault="002953A3" w:rsidP="002953A3">
            <w:pPr>
              <w:textAlignment w:val="baseline"/>
              <w:rPr>
                <w:rFonts w:cs="Arial"/>
                <w:color w:val="365F91" w:themeColor="accent1" w:themeShade="BF"/>
                <w:szCs w:val="24"/>
                <w:lang w:eastAsia="en-GB"/>
              </w:rPr>
            </w:pPr>
            <w:r w:rsidRPr="002953A3">
              <w:rPr>
                <w:rFonts w:cs="Arial"/>
                <w:color w:val="365F91" w:themeColor="accent1" w:themeShade="BF"/>
                <w:szCs w:val="24"/>
                <w:lang w:eastAsia="en-GB"/>
              </w:rPr>
              <w:t>Receipted, no maximum</w:t>
            </w:r>
          </w:p>
        </w:tc>
      </w:tr>
      <w:tr w:rsidR="002953A3" w:rsidRPr="002953A3" w:rsidTr="002953A3">
        <w:tc>
          <w:tcPr>
            <w:tcW w:w="4626" w:type="dxa"/>
            <w:hideMark/>
          </w:tcPr>
          <w:p w:rsidR="002953A3" w:rsidRPr="002953A3" w:rsidRDefault="002953A3" w:rsidP="002953A3">
            <w:pPr>
              <w:textAlignment w:val="baseline"/>
              <w:rPr>
                <w:rFonts w:cs="Arial"/>
                <w:color w:val="365F91" w:themeColor="accent1" w:themeShade="BF"/>
                <w:szCs w:val="24"/>
                <w:lang w:eastAsia="en-GB"/>
              </w:rPr>
            </w:pPr>
            <w:r w:rsidRPr="002953A3">
              <w:rPr>
                <w:rFonts w:cs="Arial"/>
                <w:color w:val="365F91" w:themeColor="accent1" w:themeShade="BF"/>
                <w:szCs w:val="24"/>
                <w:lang w:eastAsia="en-GB"/>
              </w:rPr>
              <w:t>Staying with friends allowance</w:t>
            </w:r>
          </w:p>
        </w:tc>
        <w:tc>
          <w:tcPr>
            <w:tcW w:w="757" w:type="dxa"/>
            <w:hideMark/>
          </w:tcPr>
          <w:p w:rsidR="002953A3" w:rsidRPr="002953A3" w:rsidRDefault="002953A3" w:rsidP="002953A3">
            <w:pPr>
              <w:textAlignment w:val="baseline"/>
              <w:rPr>
                <w:rFonts w:cs="Arial"/>
                <w:color w:val="365F91" w:themeColor="accent1" w:themeShade="BF"/>
                <w:szCs w:val="24"/>
                <w:lang w:eastAsia="en-GB"/>
              </w:rPr>
            </w:pPr>
            <w:proofErr w:type="spellStart"/>
            <w:r w:rsidRPr="002953A3">
              <w:rPr>
                <w:rFonts w:cs="Arial"/>
                <w:color w:val="365F91" w:themeColor="accent1" w:themeShade="BF"/>
                <w:szCs w:val="24"/>
                <w:lang w:eastAsia="en-GB"/>
              </w:rPr>
              <w:t>NSSF</w:t>
            </w:r>
            <w:proofErr w:type="spellEnd"/>
          </w:p>
        </w:tc>
        <w:tc>
          <w:tcPr>
            <w:tcW w:w="3633" w:type="dxa"/>
            <w:hideMark/>
          </w:tcPr>
          <w:p w:rsidR="002953A3" w:rsidRPr="002953A3" w:rsidRDefault="002953A3" w:rsidP="002953A3">
            <w:pPr>
              <w:textAlignment w:val="baseline"/>
              <w:rPr>
                <w:rFonts w:cs="Arial"/>
                <w:color w:val="365F91" w:themeColor="accent1" w:themeShade="BF"/>
                <w:szCs w:val="24"/>
                <w:lang w:eastAsia="en-GB"/>
              </w:rPr>
            </w:pPr>
            <w:r w:rsidRPr="002953A3">
              <w:rPr>
                <w:rFonts w:cs="Arial"/>
                <w:color w:val="365F91" w:themeColor="accent1" w:themeShade="BF"/>
                <w:szCs w:val="24"/>
                <w:lang w:eastAsia="en-GB"/>
              </w:rPr>
              <w:t>£36, set rate</w:t>
            </w:r>
          </w:p>
        </w:tc>
      </w:tr>
      <w:tr w:rsidR="002953A3" w:rsidRPr="002953A3" w:rsidTr="002953A3">
        <w:tc>
          <w:tcPr>
            <w:tcW w:w="4626" w:type="dxa"/>
            <w:hideMark/>
          </w:tcPr>
          <w:p w:rsidR="002953A3" w:rsidRPr="002953A3" w:rsidRDefault="002953A3" w:rsidP="002953A3">
            <w:pPr>
              <w:textAlignment w:val="baseline"/>
              <w:rPr>
                <w:rFonts w:cs="Arial"/>
                <w:color w:val="365F91" w:themeColor="accent1" w:themeShade="BF"/>
                <w:szCs w:val="24"/>
                <w:lang w:eastAsia="en-GB"/>
              </w:rPr>
            </w:pPr>
            <w:r w:rsidRPr="002953A3">
              <w:rPr>
                <w:rFonts w:cs="Arial"/>
                <w:color w:val="365F91" w:themeColor="accent1" w:themeShade="BF"/>
                <w:szCs w:val="24"/>
                <w:lang w:eastAsia="en-GB"/>
              </w:rPr>
              <w:t>Telephone calls on official business</w:t>
            </w:r>
          </w:p>
        </w:tc>
        <w:tc>
          <w:tcPr>
            <w:tcW w:w="757" w:type="dxa"/>
            <w:hideMark/>
          </w:tcPr>
          <w:p w:rsidR="002953A3" w:rsidRPr="002953A3" w:rsidRDefault="002953A3" w:rsidP="002953A3">
            <w:pPr>
              <w:textAlignment w:val="baseline"/>
              <w:rPr>
                <w:rFonts w:cs="Arial"/>
                <w:color w:val="365F91" w:themeColor="accent1" w:themeShade="BF"/>
                <w:szCs w:val="24"/>
                <w:lang w:eastAsia="en-GB"/>
              </w:rPr>
            </w:pPr>
            <w:r w:rsidRPr="002953A3">
              <w:rPr>
                <w:rFonts w:cs="Arial"/>
                <w:color w:val="365F91" w:themeColor="accent1" w:themeShade="BF"/>
                <w:szCs w:val="24"/>
                <w:lang w:eastAsia="en-GB"/>
              </w:rPr>
              <w:t>TELE</w:t>
            </w:r>
          </w:p>
        </w:tc>
        <w:tc>
          <w:tcPr>
            <w:tcW w:w="3633" w:type="dxa"/>
            <w:hideMark/>
          </w:tcPr>
          <w:p w:rsidR="002953A3" w:rsidRPr="002953A3" w:rsidRDefault="002953A3" w:rsidP="002953A3">
            <w:pPr>
              <w:textAlignment w:val="baseline"/>
              <w:rPr>
                <w:rFonts w:cs="Arial"/>
                <w:color w:val="365F91" w:themeColor="accent1" w:themeShade="BF"/>
                <w:szCs w:val="24"/>
                <w:lang w:eastAsia="en-GB"/>
              </w:rPr>
            </w:pPr>
            <w:r w:rsidRPr="002953A3">
              <w:rPr>
                <w:rFonts w:cs="Arial"/>
                <w:color w:val="365F91" w:themeColor="accent1" w:themeShade="BF"/>
                <w:szCs w:val="24"/>
                <w:lang w:eastAsia="en-GB"/>
              </w:rPr>
              <w:t>No maximum</w:t>
            </w:r>
          </w:p>
        </w:tc>
      </w:tr>
      <w:tr w:rsidR="002953A3" w:rsidRPr="002953A3" w:rsidTr="002953A3">
        <w:tc>
          <w:tcPr>
            <w:tcW w:w="4626" w:type="dxa"/>
            <w:hideMark/>
          </w:tcPr>
          <w:p w:rsidR="002953A3" w:rsidRPr="002953A3" w:rsidRDefault="002953A3" w:rsidP="002953A3">
            <w:pPr>
              <w:textAlignment w:val="baseline"/>
              <w:rPr>
                <w:rFonts w:cs="Arial"/>
                <w:color w:val="365F91" w:themeColor="accent1" w:themeShade="BF"/>
                <w:szCs w:val="24"/>
                <w:lang w:eastAsia="en-GB"/>
              </w:rPr>
            </w:pPr>
            <w:r w:rsidRPr="002953A3">
              <w:rPr>
                <w:rFonts w:cs="Arial"/>
                <w:color w:val="365F91" w:themeColor="accent1" w:themeShade="BF"/>
                <w:szCs w:val="24"/>
                <w:lang w:eastAsia="en-GB"/>
              </w:rPr>
              <w:t>Toll charges</w:t>
            </w:r>
          </w:p>
        </w:tc>
        <w:tc>
          <w:tcPr>
            <w:tcW w:w="757" w:type="dxa"/>
            <w:hideMark/>
          </w:tcPr>
          <w:p w:rsidR="002953A3" w:rsidRPr="002953A3" w:rsidRDefault="002953A3" w:rsidP="002953A3">
            <w:pPr>
              <w:textAlignment w:val="baseline"/>
              <w:rPr>
                <w:rFonts w:cs="Arial"/>
                <w:color w:val="365F91" w:themeColor="accent1" w:themeShade="BF"/>
                <w:szCs w:val="24"/>
                <w:lang w:eastAsia="en-GB"/>
              </w:rPr>
            </w:pPr>
            <w:proofErr w:type="spellStart"/>
            <w:r w:rsidRPr="002953A3">
              <w:rPr>
                <w:rFonts w:cs="Arial"/>
                <w:color w:val="365F91" w:themeColor="accent1" w:themeShade="BF"/>
                <w:szCs w:val="24"/>
                <w:lang w:eastAsia="en-GB"/>
              </w:rPr>
              <w:t>TRTC</w:t>
            </w:r>
            <w:proofErr w:type="spellEnd"/>
          </w:p>
        </w:tc>
        <w:tc>
          <w:tcPr>
            <w:tcW w:w="3633" w:type="dxa"/>
            <w:hideMark/>
          </w:tcPr>
          <w:p w:rsidR="002953A3" w:rsidRPr="002953A3" w:rsidRDefault="002953A3" w:rsidP="002953A3">
            <w:pPr>
              <w:textAlignment w:val="baseline"/>
              <w:rPr>
                <w:rFonts w:cs="Arial"/>
                <w:color w:val="365F91" w:themeColor="accent1" w:themeShade="BF"/>
                <w:szCs w:val="24"/>
                <w:lang w:eastAsia="en-GB"/>
              </w:rPr>
            </w:pPr>
            <w:r w:rsidRPr="002953A3">
              <w:rPr>
                <w:rFonts w:cs="Arial"/>
                <w:color w:val="365F91" w:themeColor="accent1" w:themeShade="BF"/>
                <w:szCs w:val="24"/>
                <w:lang w:eastAsia="en-GB"/>
              </w:rPr>
              <w:t>No maximum</w:t>
            </w:r>
          </w:p>
        </w:tc>
      </w:tr>
    </w:tbl>
    <w:p w:rsidR="002953A3" w:rsidRDefault="002953A3" w:rsidP="00B561C0">
      <w:pPr>
        <w:rPr>
          <w:color w:val="365F91" w:themeColor="accent1" w:themeShade="BF"/>
        </w:rPr>
      </w:pPr>
    </w:p>
    <w:p w:rsidR="002953A3" w:rsidRPr="002953A3" w:rsidRDefault="002953A3" w:rsidP="00B561C0">
      <w:pPr>
        <w:rPr>
          <w:b/>
          <w:color w:val="365F91" w:themeColor="accent1" w:themeShade="BF"/>
        </w:rPr>
      </w:pPr>
      <w:r w:rsidRPr="002953A3">
        <w:rPr>
          <w:b/>
          <w:color w:val="365F91" w:themeColor="accent1" w:themeShade="BF"/>
        </w:rPr>
        <w:t>Corporate Business Management Team</w:t>
      </w:r>
    </w:p>
    <w:p w:rsidR="002953A3" w:rsidRDefault="002953A3" w:rsidP="00B561C0">
      <w:pPr>
        <w:rPr>
          <w:color w:val="365F91" w:themeColor="accent1" w:themeShade="BF"/>
        </w:rPr>
      </w:pPr>
      <w:r>
        <w:rPr>
          <w:color w:val="365F91" w:themeColor="accent1" w:themeShade="BF"/>
        </w:rPr>
        <w:t>April 2020</w:t>
      </w:r>
    </w:p>
    <w:p w:rsidR="002953A3" w:rsidRPr="002953A3" w:rsidRDefault="002953A3" w:rsidP="00B561C0">
      <w:pPr>
        <w:rPr>
          <w:color w:val="365F91" w:themeColor="accent1" w:themeShade="BF"/>
        </w:rPr>
      </w:pPr>
    </w:p>
    <w:sectPr w:rsidR="002953A3" w:rsidRPr="002953A3" w:rsidSect="00B561C0">
      <w:footerReference w:type="default" r:id="rId7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3A3" w:rsidRDefault="002953A3" w:rsidP="002953A3">
      <w:r>
        <w:separator/>
      </w:r>
    </w:p>
  </w:endnote>
  <w:endnote w:type="continuationSeparator" w:id="0">
    <w:p w:rsidR="002953A3" w:rsidRDefault="002953A3" w:rsidP="00295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3A3" w:rsidRDefault="002953A3">
    <w:pPr>
      <w:pStyle w:val="Footer"/>
    </w:pPr>
    <w:r w:rsidRPr="002953A3">
      <w:rPr>
        <w:noProof/>
        <w:color w:val="FFFFFF"/>
        <w:sz w:val="22"/>
        <w:szCs w:val="22"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88EAA35" wp14:editId="4424B27B">
              <wp:simplePos x="0" y="0"/>
              <wp:positionH relativeFrom="column">
                <wp:posOffset>3346450</wp:posOffset>
              </wp:positionH>
              <wp:positionV relativeFrom="paragraph">
                <wp:posOffset>95358</wp:posOffset>
              </wp:positionV>
              <wp:extent cx="3044825" cy="1404620"/>
              <wp:effectExtent l="0" t="0" r="22225" b="2540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4825" cy="1404620"/>
                      </a:xfrm>
                      <a:prstGeom prst="rect">
                        <a:avLst/>
                      </a:prstGeom>
                      <a:solidFill>
                        <a:srgbClr val="4F81BD">
                          <a:lumMod val="75000"/>
                        </a:srgbClr>
                      </a:solidFill>
                      <a:ln w="9525">
                        <a:solidFill>
                          <a:srgbClr val="4F81BD">
                            <a:lumMod val="75000"/>
                          </a:srgb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53A3" w:rsidRDefault="002953A3" w:rsidP="002953A3">
                          <w:pPr>
                            <w:shd w:val="clear" w:color="auto" w:fill="365F91"/>
                            <w:rPr>
                              <w:b/>
                              <w:color w:val="FFFFFF"/>
                            </w:rPr>
                          </w:pPr>
                          <w:r>
                            <w:rPr>
                              <w:b/>
                              <w:color w:val="FFFFFF"/>
                            </w:rPr>
                            <w:t>Travel and Subsistence Rates</w:t>
                          </w:r>
                        </w:p>
                        <w:p w:rsidR="002953A3" w:rsidRPr="002953A3" w:rsidRDefault="002953A3" w:rsidP="002953A3">
                          <w:pPr>
                            <w:shd w:val="clear" w:color="auto" w:fill="365F91"/>
                            <w:rPr>
                              <w:b/>
                              <w:color w:val="FFFFFF"/>
                            </w:rPr>
                          </w:pPr>
                          <w:r>
                            <w:rPr>
                              <w:b/>
                              <w:color w:val="FFFFFF"/>
                            </w:rPr>
                            <w:t>Non-Executive Board Members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88EAA3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3.5pt;margin-top:7.5pt;width:239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JEzMwIAAIsEAAAOAAAAZHJzL2Uyb0RvYy54bWy0VNtu2zAMfR+wfxD0vtjOnCY16hRtsgwD&#10;ugvQ7gMYWY6F6TZJiZ19fSk5zbLtbdheBEmkDg95SN3cDkqSA3deGF3TYpJTwjUzjdC7mn592rxZ&#10;UOID6Aak0bymR+7p7fL1q5veVnxqOiMb7giCaF/1tqZdCLbKMs86rsBPjOUaja1xCgIe3S5rHPSI&#10;rmQ2zfOrrDeusc4w7j3erkcjXSb8tuUsfG5bzwORNUVuIa0urdu4ZssbqHYObCfYiQb8BQsFQmPQ&#10;M9QaApC9E39AKcGc8aYNE2ZUZtpWMJ5ywGyK/LdsHjuwPOWCxfH2XCb/72DZp8MXR0RT02kxp0SD&#10;QpGe+BDIvRnINNant75Ct0eLjmHAa9Q55ertg2HfPNFm1YHe8TvnTN9xaJBfEV9mF09HHB9Btv1H&#10;02AY2AeTgIbWqVg8LAdBdNTpeNYmUmF4+TYvy8V0RglDW1Hm5dU0qZdB9fLcOh/ec6NI3NTUofgJ&#10;Hg4PPkQ6UL24xGjeSNFshJTp4HbblXTkANgo5WZR3K/TW7lXSHa8ns/y/CWmH/0T6C9AUpO+ptcz&#10;pPr/gigRcGqkUDVdIKeRFVSx9u90k3o6gJDjHtOW+iRGrP+oRBi2w0ncrWmOKIsz43TgNOOmM+4H&#10;JT1ORk399z04Ton8oFHa66Is4yilQzmbow7EXVq2lxbQDKFqGigZt6uQxi8Vx95hC2xEEif2ysjk&#10;xBU7PpX3NJ1xpC7PyevnH7J8BgAA//8DAFBLAwQUAAYACAAAACEAN2rHSt8AAAALAQAADwAAAGRy&#10;cy9kb3ducmV2LnhtbEyPwWrDMBBE74X+g9hCL6WR62I3cSyHECjk0EvTQK8ba2MbW5KRlNj9+25O&#10;7WlZZph5U25mM4gr+dA5q+BlkYAgWzvd2UbB8ev9eQkiRLQaB2dJwQ8F2FT3dyUW2k32k66H2AgO&#10;saFABW2MYyFlqFsyGBZuJMva2XmDkV/fSO1x4nAzyDRJcmmws9zQ4ki7lur+cDEK6OiX291qj0/9&#10;R9Lv/fdqyoeo1OPDvF2DiDTHPzPc8BkdKmY6uYvVQQwKsvSNt0QWMr43A9dlIE4K0tc8BVmV8v+G&#10;6hcAAP//AwBQSwECLQAUAAYACAAAACEAtoM4kv4AAADhAQAAEwAAAAAAAAAAAAAAAAAAAAAAW0Nv&#10;bnRlbnRfVHlwZXNdLnhtbFBLAQItABQABgAIAAAAIQA4/SH/1gAAAJQBAAALAAAAAAAAAAAAAAAA&#10;AC8BAABfcmVscy8ucmVsc1BLAQItABQABgAIAAAAIQBqWJEzMwIAAIsEAAAOAAAAAAAAAAAAAAAA&#10;AC4CAABkcnMvZTJvRG9jLnhtbFBLAQItABQABgAIAAAAIQA3asdK3wAAAAsBAAAPAAAAAAAAAAAA&#10;AAAAAI0EAABkcnMvZG93bnJldi54bWxQSwUGAAAAAAQABADzAAAAmQUAAAAA&#10;" fillcolor="#376092" strokecolor="#376092">
              <v:textbox style="mso-fit-shape-to-text:t">
                <w:txbxContent>
                  <w:p w:rsidR="002953A3" w:rsidRDefault="002953A3" w:rsidP="002953A3">
                    <w:pPr>
                      <w:shd w:val="clear" w:color="auto" w:fill="365F91"/>
                      <w:rPr>
                        <w:b/>
                        <w:color w:val="FFFFFF"/>
                      </w:rPr>
                    </w:pPr>
                    <w:r>
                      <w:rPr>
                        <w:b/>
                        <w:color w:val="FFFFFF"/>
                      </w:rPr>
                      <w:t>Travel and Subsistence Rates</w:t>
                    </w:r>
                  </w:p>
                  <w:p w:rsidR="002953A3" w:rsidRPr="002953A3" w:rsidRDefault="002953A3" w:rsidP="002953A3">
                    <w:pPr>
                      <w:shd w:val="clear" w:color="auto" w:fill="365F91"/>
                      <w:rPr>
                        <w:b/>
                        <w:color w:val="FFFFFF"/>
                      </w:rPr>
                    </w:pPr>
                    <w:r>
                      <w:rPr>
                        <w:b/>
                        <w:color w:val="FFFFFF"/>
                      </w:rPr>
                      <w:t>Non-Executive Board Members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-294568</wp:posOffset>
          </wp:positionV>
          <wp:extent cx="7547610" cy="1005840"/>
          <wp:effectExtent l="0" t="0" r="0" b="3810"/>
          <wp:wrapNone/>
          <wp:docPr id="730" name="Picture 7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0" name="Picture 73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3A3" w:rsidRDefault="002953A3" w:rsidP="002953A3">
      <w:r>
        <w:separator/>
      </w:r>
    </w:p>
  </w:footnote>
  <w:footnote w:type="continuationSeparator" w:id="0">
    <w:p w:rsidR="002953A3" w:rsidRDefault="002953A3" w:rsidP="00295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3A3"/>
    <w:rsid w:val="00027C27"/>
    <w:rsid w:val="000C0CF4"/>
    <w:rsid w:val="00281579"/>
    <w:rsid w:val="002953A3"/>
    <w:rsid w:val="00306C61"/>
    <w:rsid w:val="0037582B"/>
    <w:rsid w:val="00857548"/>
    <w:rsid w:val="009B7615"/>
    <w:rsid w:val="00B51BDC"/>
    <w:rsid w:val="00B561C0"/>
    <w:rsid w:val="00B773CE"/>
    <w:rsid w:val="00C91823"/>
    <w:rsid w:val="00D008AB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C377F8"/>
  <w15:chartTrackingRefBased/>
  <w15:docId w15:val="{5471B07E-A361-40E5-9337-08EB27D64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styleId="NormalWeb">
    <w:name w:val="Normal (Web)"/>
    <w:basedOn w:val="Normal"/>
    <w:uiPriority w:val="99"/>
    <w:semiHidden/>
    <w:unhideWhenUsed/>
    <w:rsid w:val="002953A3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953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7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Hildersley SCJ (Sarah)</dc:creator>
  <cp:keywords/>
  <dc:description/>
  <cp:lastModifiedBy>Hildersley SCJ (Sarah)</cp:lastModifiedBy>
  <cp:revision>1</cp:revision>
  <dcterms:created xsi:type="dcterms:W3CDTF">2020-04-30T09:45:00Z</dcterms:created>
  <dcterms:modified xsi:type="dcterms:W3CDTF">2020-04-30T09:59:00Z</dcterms:modified>
</cp:coreProperties>
</file>